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C5" w:rsidRPr="00330B65" w:rsidRDefault="001444C5" w:rsidP="001444C5">
      <w:pPr>
        <w:spacing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dr </w:t>
      </w:r>
      <w:r w:rsidR="00CF07EB">
        <w:rPr>
          <w:rFonts w:ascii="Arial" w:eastAsia="Times New Roman" w:hAnsi="Arial" w:cs="Arial"/>
          <w:i/>
          <w:sz w:val="24"/>
          <w:szCs w:val="24"/>
          <w:lang w:eastAsia="pl-PL"/>
        </w:rPr>
        <w:t>ha</w:t>
      </w:r>
      <w:bookmarkStart w:id="0" w:name="_GoBack"/>
      <w:bookmarkEnd w:id="0"/>
      <w:r w:rsidR="00CF07E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b. </w:t>
      </w:r>
      <w:r w:rsidRPr="001444C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Grzegorz </w:t>
      </w:r>
      <w:r w:rsidR="00C87708">
        <w:rPr>
          <w:rFonts w:ascii="Arial" w:eastAsia="Times New Roman" w:hAnsi="Arial" w:cs="Arial"/>
          <w:i/>
          <w:sz w:val="24"/>
          <w:szCs w:val="24"/>
          <w:lang w:eastAsia="pl-PL"/>
        </w:rPr>
        <w:t>Żmij</w:t>
      </w:r>
    </w:p>
    <w:p w:rsidR="001444C5" w:rsidRPr="00330B65" w:rsidRDefault="001444C5" w:rsidP="001444C5">
      <w:pPr>
        <w:spacing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EB5455" w:rsidRPr="00330B65" w:rsidRDefault="001444C5" w:rsidP="001444C5">
      <w:pPr>
        <w:spacing w:after="60" w:line="240" w:lineRule="auto"/>
        <w:jc w:val="center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 w:rsidRPr="00330B65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PRAWO CYWILNE</w:t>
      </w:r>
    </w:p>
    <w:p w:rsidR="001444C5" w:rsidRPr="00330B65" w:rsidRDefault="004B7E43" w:rsidP="001444C5">
      <w:pPr>
        <w:spacing w:after="60" w:line="240" w:lineRule="auto"/>
        <w:jc w:val="center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 w:rsidRPr="00330B65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Czyny niedozwolone</w:t>
      </w:r>
    </w:p>
    <w:p w:rsidR="009E10B2" w:rsidRPr="00330B65" w:rsidRDefault="009E10B2" w:rsidP="001444C5">
      <w:pPr>
        <w:spacing w:after="60" w:line="24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1444C5" w:rsidRPr="00330B65" w:rsidRDefault="001444C5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EB5455" w:rsidRPr="00330B65" w:rsidRDefault="00EB5455" w:rsidP="00EB5455">
      <w:pPr>
        <w:spacing w:after="60" w:line="240" w:lineRule="auto"/>
        <w:jc w:val="center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 w:rsidRPr="00330B65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Konspekt</w:t>
      </w:r>
    </w:p>
    <w:p w:rsidR="00EB5455" w:rsidRPr="00330B65" w:rsidRDefault="00EB5455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B5455" w:rsidRPr="00330B65" w:rsidRDefault="00F4224D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eastAsia="Times New Roman" w:hAnsiTheme="minorHAnsi" w:cstheme="minorHAnsi"/>
          <w:sz w:val="24"/>
          <w:szCs w:val="24"/>
          <w:lang w:eastAsia="pl-PL"/>
        </w:rPr>
        <w:t>Szkoda i jej rodzaje</w:t>
      </w:r>
    </w:p>
    <w:p w:rsidR="00EB5455" w:rsidRPr="00330B65" w:rsidRDefault="00F4224D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eastAsia="Times New Roman" w:hAnsiTheme="minorHAnsi" w:cstheme="minorHAnsi"/>
          <w:sz w:val="24"/>
          <w:szCs w:val="24"/>
          <w:lang w:eastAsia="pl-PL"/>
        </w:rPr>
        <w:t>Podstawy odpowiedzialności deliktowej</w:t>
      </w:r>
    </w:p>
    <w:p w:rsidR="00EB5455" w:rsidRPr="00330B65" w:rsidRDefault="00F4224D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eastAsia="Times New Roman" w:hAnsiTheme="minorHAnsi" w:cstheme="minorHAnsi"/>
          <w:sz w:val="24"/>
          <w:szCs w:val="24"/>
          <w:lang w:eastAsia="pl-PL"/>
        </w:rPr>
        <w:t>Zbieg odpowiedzialności</w:t>
      </w:r>
    </w:p>
    <w:p w:rsidR="00EB5455" w:rsidRPr="00330B65" w:rsidRDefault="00F4224D" w:rsidP="00EB5455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eastAsia="Times New Roman" w:hAnsiTheme="minorHAnsi" w:cstheme="minorHAnsi"/>
          <w:sz w:val="24"/>
          <w:szCs w:val="24"/>
          <w:lang w:eastAsia="pl-PL"/>
        </w:rPr>
        <w:t>Związek przyczynowy</w:t>
      </w:r>
    </w:p>
    <w:p w:rsidR="00F4224D" w:rsidRPr="00330B65" w:rsidRDefault="00F4224D" w:rsidP="00F4224D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hAnsiTheme="minorHAnsi" w:cstheme="minorHAnsi"/>
          <w:sz w:val="24"/>
          <w:szCs w:val="24"/>
        </w:rPr>
        <w:t>Ustalenie wysokości odszkodowania</w:t>
      </w:r>
    </w:p>
    <w:p w:rsidR="00F4224D" w:rsidRPr="00330B65" w:rsidRDefault="00F4224D" w:rsidP="00F070BE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eastAsia="Times New Roman" w:hAnsiTheme="minorHAnsi" w:cstheme="minorHAnsi"/>
          <w:sz w:val="24"/>
          <w:szCs w:val="24"/>
          <w:lang w:eastAsia="pl-PL"/>
        </w:rPr>
        <w:t>Roszczenia związane ze szkodą na osobie</w:t>
      </w:r>
    </w:p>
    <w:p w:rsidR="00F070BE" w:rsidRPr="00330B65" w:rsidRDefault="00F4224D" w:rsidP="00F070BE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eastAsia="Times New Roman" w:hAnsiTheme="minorHAnsi" w:cstheme="minorHAnsi"/>
          <w:sz w:val="24"/>
          <w:szCs w:val="24"/>
          <w:lang w:eastAsia="pl-PL"/>
        </w:rPr>
        <w:t>Przedawnienie roszczeń deliktowych</w:t>
      </w:r>
    </w:p>
    <w:p w:rsidR="006F7EB7" w:rsidRPr="00330B65" w:rsidRDefault="008261F6" w:rsidP="00F070BE">
      <w:pPr>
        <w:pStyle w:val="Akapitzlist"/>
        <w:numPr>
          <w:ilvl w:val="0"/>
          <w:numId w:val="6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eastAsia="Times New Roman" w:hAnsiTheme="minorHAnsi" w:cstheme="minorHAnsi"/>
          <w:sz w:val="24"/>
          <w:szCs w:val="24"/>
          <w:lang w:eastAsia="pl-PL"/>
        </w:rPr>
        <w:t>Opracowanie opinii prawnej z zakresu odpowiedzialności deliktowej</w:t>
      </w:r>
    </w:p>
    <w:p w:rsidR="00EB5455" w:rsidRPr="00330B65" w:rsidRDefault="00EB5455" w:rsidP="00EB5455">
      <w:pPr>
        <w:pStyle w:val="Akapitzlist"/>
        <w:spacing w:after="6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B5455" w:rsidRPr="00330B65" w:rsidRDefault="00EB5455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B5455" w:rsidRPr="00330B65" w:rsidRDefault="00EB5455" w:rsidP="00EB5455">
      <w:pPr>
        <w:spacing w:after="60" w:line="240" w:lineRule="auto"/>
        <w:jc w:val="center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 w:rsidRPr="00330B65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Źródła prawa</w:t>
      </w:r>
    </w:p>
    <w:p w:rsidR="00EB5455" w:rsidRPr="00330B65" w:rsidRDefault="00EB5455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2304D" w:rsidRPr="00892943" w:rsidRDefault="0002304D" w:rsidP="00023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Ustawa z dnia 23 kwietnia 1964 r. Kodeks cywilny (</w:t>
      </w:r>
      <w:proofErr w:type="spellStart"/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. Dz.U. 2017, poz. 459 ze zm.);</w:t>
      </w:r>
    </w:p>
    <w:p w:rsidR="0002304D" w:rsidRPr="00892943" w:rsidRDefault="0002304D" w:rsidP="000230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stawa z dnia 17 listopada 1964 r. - Kodeks postępowania cywilnego (</w:t>
      </w:r>
      <w:proofErr w:type="spellStart"/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l-PL"/>
        </w:rPr>
        <w:t>. Dz. U. z 2018</w:t>
      </w: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155</w:t>
      </w:r>
      <w:r w:rsidRPr="00892943">
        <w:rPr>
          <w:rFonts w:ascii="Arial" w:hAnsi="Arial" w:cs="Arial"/>
          <w:color w:val="000000"/>
          <w:sz w:val="24"/>
          <w:szCs w:val="24"/>
          <w:lang w:eastAsia="pl-PL"/>
        </w:rPr>
        <w:t xml:space="preserve"> ze zm.),</w:t>
      </w:r>
    </w:p>
    <w:p w:rsidR="00EB5455" w:rsidRDefault="00EB5455" w:rsidP="00BB28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02304D" w:rsidRPr="0002304D" w:rsidRDefault="0002304D" w:rsidP="00BB28B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:rsidR="00EB5455" w:rsidRPr="00330B65" w:rsidRDefault="00313884" w:rsidP="00313884">
      <w:pPr>
        <w:spacing w:after="6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Wybór literatury</w:t>
      </w:r>
    </w:p>
    <w:p w:rsidR="00313884" w:rsidRPr="00330B65" w:rsidRDefault="00313884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13884" w:rsidRPr="00330B65" w:rsidRDefault="004B7E43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hAnsiTheme="minorHAnsi" w:cstheme="minorHAnsi"/>
          <w:sz w:val="24"/>
          <w:szCs w:val="24"/>
          <w:lang w:eastAsia="pl-PL"/>
        </w:rPr>
        <w:t>M. Kaliński</w:t>
      </w:r>
      <w:r w:rsidR="00EB5455" w:rsidRPr="00330B65">
        <w:rPr>
          <w:rFonts w:asciiTheme="minorHAnsi" w:hAnsiTheme="minorHAnsi" w:cstheme="minorHAnsi"/>
          <w:sz w:val="24"/>
          <w:szCs w:val="24"/>
          <w:lang w:eastAsia="pl-PL"/>
        </w:rPr>
        <w:t>, [w:</w:t>
      </w:r>
      <w:r w:rsidRPr="00330B65">
        <w:rPr>
          <w:rFonts w:asciiTheme="minorHAnsi" w:hAnsiTheme="minorHAnsi" w:cstheme="minorHAnsi"/>
          <w:sz w:val="24"/>
          <w:szCs w:val="24"/>
          <w:lang w:eastAsia="pl-PL"/>
        </w:rPr>
        <w:t>] System prawa prywatnego, tom 6</w:t>
      </w:r>
      <w:r w:rsidR="00EB5455" w:rsidRPr="00330B65">
        <w:rPr>
          <w:rFonts w:asciiTheme="minorHAnsi" w:hAnsiTheme="minorHAnsi" w:cstheme="minorHAnsi"/>
          <w:sz w:val="24"/>
          <w:szCs w:val="24"/>
          <w:lang w:eastAsia="pl-PL"/>
        </w:rPr>
        <w:t>, Prawo</w:t>
      </w:r>
      <w:r w:rsidR="00313884" w:rsidRPr="00330B6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B5455" w:rsidRPr="00330B65">
        <w:rPr>
          <w:rFonts w:asciiTheme="minorHAnsi" w:hAnsiTheme="minorHAnsi" w:cstheme="minorHAnsi"/>
          <w:sz w:val="24"/>
          <w:szCs w:val="24"/>
          <w:lang w:eastAsia="pl-PL"/>
        </w:rPr>
        <w:t>zobowi</w:t>
      </w:r>
      <w:r w:rsidR="00313884" w:rsidRPr="00330B65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="00EB5455" w:rsidRPr="00330B65">
        <w:rPr>
          <w:rFonts w:asciiTheme="minorHAnsi" w:hAnsiTheme="minorHAnsi" w:cstheme="minorHAnsi"/>
          <w:sz w:val="24"/>
          <w:szCs w:val="24"/>
          <w:lang w:eastAsia="pl-PL"/>
        </w:rPr>
        <w:t>za</w:t>
      </w:r>
      <w:r w:rsidR="00313884" w:rsidRPr="00330B65">
        <w:rPr>
          <w:rFonts w:asciiTheme="minorHAnsi" w:hAnsiTheme="minorHAnsi" w:cstheme="minorHAnsi"/>
          <w:sz w:val="24"/>
          <w:szCs w:val="24"/>
          <w:lang w:eastAsia="pl-PL"/>
        </w:rPr>
        <w:t>ń</w:t>
      </w:r>
      <w:r w:rsidR="00EB5455" w:rsidRPr="00330B65">
        <w:rPr>
          <w:rFonts w:asciiTheme="minorHAnsi" w:hAnsiTheme="minorHAnsi" w:cstheme="minorHAnsi"/>
          <w:sz w:val="24"/>
          <w:szCs w:val="24"/>
          <w:lang w:eastAsia="pl-PL"/>
        </w:rPr>
        <w:t xml:space="preserve"> – cz</w:t>
      </w:r>
      <w:r w:rsidR="00313884" w:rsidRPr="00330B65">
        <w:rPr>
          <w:rFonts w:asciiTheme="minorHAnsi" w:hAnsiTheme="minorHAnsi" w:cstheme="minorHAnsi"/>
          <w:sz w:val="24"/>
          <w:szCs w:val="24"/>
          <w:lang w:eastAsia="pl-PL"/>
        </w:rPr>
        <w:t>ęść</w:t>
      </w:r>
      <w:r w:rsidR="006035E3" w:rsidRPr="00330B65">
        <w:rPr>
          <w:rFonts w:asciiTheme="minorHAnsi" w:hAnsiTheme="minorHAnsi" w:cstheme="minorHAnsi"/>
          <w:sz w:val="24"/>
          <w:szCs w:val="24"/>
          <w:lang w:eastAsia="pl-PL"/>
        </w:rPr>
        <w:t xml:space="preserve"> ogólna, red. A. Olejnicz</w:t>
      </w:r>
      <w:r w:rsidR="00F4224D" w:rsidRPr="00330B65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A918E7">
        <w:rPr>
          <w:rFonts w:asciiTheme="minorHAnsi" w:hAnsiTheme="minorHAnsi" w:cstheme="minorHAnsi"/>
          <w:sz w:val="24"/>
          <w:szCs w:val="24"/>
          <w:lang w:eastAsia="pl-PL"/>
        </w:rPr>
        <w:t>k, wyd. 2 Warszawa 20014</w:t>
      </w:r>
    </w:p>
    <w:p w:rsidR="006035E3" w:rsidRPr="00330B65" w:rsidRDefault="006035E3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6035E3" w:rsidRPr="00330B65" w:rsidRDefault="006035E3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hAnsiTheme="minorHAnsi" w:cstheme="minorHAnsi"/>
          <w:sz w:val="24"/>
          <w:szCs w:val="24"/>
          <w:lang w:eastAsia="pl-PL"/>
        </w:rPr>
        <w:t xml:space="preserve">M. Kaliński, Szkoda na mieniu i jej naprawienie, </w:t>
      </w:r>
      <w:r w:rsidR="00313FB7" w:rsidRPr="00330B65">
        <w:rPr>
          <w:rFonts w:asciiTheme="minorHAnsi" w:hAnsiTheme="minorHAnsi" w:cstheme="minorHAnsi"/>
          <w:sz w:val="24"/>
          <w:szCs w:val="24"/>
          <w:lang w:eastAsia="pl-PL"/>
        </w:rPr>
        <w:t>wyd. 2, Warszawa 2014</w:t>
      </w:r>
    </w:p>
    <w:p w:rsidR="006035E3" w:rsidRPr="00330B65" w:rsidRDefault="006035E3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B0064" w:rsidRPr="00330B65" w:rsidRDefault="00DB0064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hAnsiTheme="minorHAnsi" w:cstheme="minorHAnsi"/>
          <w:sz w:val="24"/>
          <w:szCs w:val="24"/>
          <w:lang w:eastAsia="pl-PL"/>
        </w:rPr>
        <w:t>M. Safjan, K.J. Matuszczyk, Odpowiedzialność odszkodowawcza władzy publicznej, wyd. 2, Warszawa 2011</w:t>
      </w:r>
    </w:p>
    <w:p w:rsidR="00DB0064" w:rsidRPr="00330B65" w:rsidRDefault="00DB0064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B0064" w:rsidRPr="00330B65" w:rsidRDefault="00DB0064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hAnsiTheme="minorHAnsi" w:cstheme="minorHAnsi"/>
          <w:sz w:val="24"/>
          <w:szCs w:val="24"/>
          <w:lang w:eastAsia="pl-PL"/>
        </w:rPr>
        <w:t>G. Bieniek, Odpowiedzialność cywilna za wypadki drogowe, wyd. 3, Warszawa 2011</w:t>
      </w:r>
    </w:p>
    <w:p w:rsidR="00DB0064" w:rsidRPr="00330B65" w:rsidRDefault="00DB0064" w:rsidP="00EB54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B5455" w:rsidRPr="00330B65" w:rsidRDefault="00EB5455" w:rsidP="00EB5455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30B65">
        <w:rPr>
          <w:rFonts w:asciiTheme="minorHAnsi" w:hAnsiTheme="minorHAnsi" w:cstheme="minorHAnsi"/>
          <w:sz w:val="24"/>
          <w:szCs w:val="24"/>
          <w:lang w:eastAsia="pl-PL"/>
        </w:rPr>
        <w:t xml:space="preserve">Komentarze do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30B65">
          <w:rPr>
            <w:rFonts w:asciiTheme="minorHAnsi" w:hAnsiTheme="minorHAnsi" w:cstheme="minorHAnsi"/>
            <w:sz w:val="24"/>
            <w:szCs w:val="24"/>
            <w:lang w:eastAsia="pl-PL"/>
          </w:rPr>
          <w:t>kodeksu cywilnego</w:t>
        </w:r>
      </w:smartTag>
      <w:r w:rsidRPr="00330B65">
        <w:rPr>
          <w:rFonts w:asciiTheme="minorHAnsi" w:hAnsiTheme="minorHAnsi" w:cstheme="minorHAnsi"/>
          <w:sz w:val="24"/>
          <w:szCs w:val="24"/>
          <w:lang w:eastAsia="pl-PL"/>
        </w:rPr>
        <w:t>, w szczególno</w:t>
      </w:r>
      <w:r w:rsidR="00313884" w:rsidRPr="00330B65">
        <w:rPr>
          <w:rFonts w:asciiTheme="minorHAnsi" w:hAnsiTheme="minorHAnsi" w:cstheme="minorHAnsi"/>
          <w:sz w:val="24"/>
          <w:szCs w:val="24"/>
          <w:lang w:eastAsia="pl-PL"/>
        </w:rPr>
        <w:t>ś</w:t>
      </w:r>
      <w:r w:rsidRPr="00330B65">
        <w:rPr>
          <w:rFonts w:asciiTheme="minorHAnsi" w:hAnsiTheme="minorHAnsi" w:cstheme="minorHAnsi"/>
          <w:sz w:val="24"/>
          <w:szCs w:val="24"/>
          <w:lang w:eastAsia="pl-PL"/>
        </w:rPr>
        <w:t xml:space="preserve">ci do art. </w:t>
      </w:r>
      <w:r w:rsidR="006035E3" w:rsidRPr="00330B65">
        <w:rPr>
          <w:rFonts w:asciiTheme="minorHAnsi" w:hAnsiTheme="minorHAnsi" w:cstheme="minorHAnsi"/>
          <w:sz w:val="24"/>
          <w:szCs w:val="24"/>
          <w:lang w:eastAsia="pl-PL"/>
        </w:rPr>
        <w:t>415</w:t>
      </w:r>
      <w:r w:rsidRPr="00330B65">
        <w:rPr>
          <w:rFonts w:asciiTheme="minorHAnsi" w:hAnsiTheme="minorHAnsi" w:cstheme="minorHAnsi"/>
          <w:sz w:val="24"/>
          <w:szCs w:val="24"/>
          <w:lang w:eastAsia="pl-PL"/>
        </w:rPr>
        <w:t xml:space="preserve"> i nast.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330B65">
          <w:rPr>
            <w:rFonts w:asciiTheme="minorHAnsi" w:hAnsiTheme="minorHAnsi" w:cstheme="minorHAnsi"/>
            <w:sz w:val="24"/>
            <w:szCs w:val="24"/>
            <w:lang w:eastAsia="pl-PL"/>
          </w:rPr>
          <w:t>k.c.</w:t>
        </w:r>
      </w:smartTag>
    </w:p>
    <w:p w:rsidR="00E76DDE" w:rsidRPr="00330B65" w:rsidRDefault="00E76DDE" w:rsidP="00E76DD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76DDE" w:rsidRPr="00330B65" w:rsidRDefault="00E76DDE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0FE9" w:rsidRPr="00330B65" w:rsidRDefault="00BE0FE9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E713B" w:rsidRPr="00330B65" w:rsidRDefault="002E713B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2E713B" w:rsidRPr="00330B65" w:rsidRDefault="002E713B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E0FE9" w:rsidRPr="00330B65" w:rsidRDefault="00BE0FE9" w:rsidP="00EB3364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0005" w:rsidRPr="00330B65" w:rsidRDefault="00BE0FE9" w:rsidP="00DC0005">
      <w:pPr>
        <w:spacing w:after="60" w:line="240" w:lineRule="auto"/>
        <w:jc w:val="center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 w:rsidRPr="00330B65"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  <w:t>Wybrane orzeczenia:</w:t>
      </w:r>
    </w:p>
    <w:p w:rsidR="00BD15FC" w:rsidRPr="00330B65" w:rsidRDefault="00BD15FC" w:rsidP="00BD15FC">
      <w:pPr>
        <w:spacing w:after="60" w:line="240" w:lineRule="auto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Sądu Najwyższego z dnia </w:t>
      </w:r>
      <w:r w:rsidR="005629D8" w:rsidRPr="00330B65">
        <w:rPr>
          <w:rFonts w:asciiTheme="minorHAnsi" w:hAnsiTheme="minorHAnsi" w:cstheme="minorHAnsi"/>
          <w:sz w:val="20"/>
          <w:szCs w:val="20"/>
          <w:lang w:eastAsia="pl-PL"/>
        </w:rPr>
        <w:t>7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kwietnia 2016 r.</w:t>
      </w:r>
      <w:r w:rsidR="005629D8" w:rsidRPr="00330B65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629D8"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II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CSK </w:t>
      </w:r>
      <w:r w:rsidR="005629D8"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442/15</w:t>
      </w:r>
    </w:p>
    <w:p w:rsidR="00BD15FC" w:rsidRPr="00330B65" w:rsidRDefault="00BD15FC" w:rsidP="00BD15FC">
      <w:pPr>
        <w:spacing w:after="6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Sądu Apelacyjnego w Łodzi z dnia 18 maja 2016 r. I </w:t>
      </w:r>
      <w:proofErr w:type="spellStart"/>
      <w:r w:rsidRPr="00330B65">
        <w:rPr>
          <w:rFonts w:asciiTheme="minorHAnsi" w:hAnsiTheme="minorHAnsi" w:cstheme="minorHAnsi"/>
          <w:sz w:val="20"/>
          <w:szCs w:val="20"/>
          <w:lang w:eastAsia="pl-PL"/>
        </w:rPr>
        <w:t>ACa</w:t>
      </w:r>
      <w:proofErr w:type="spellEnd"/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1667/15</w:t>
      </w:r>
    </w:p>
    <w:p w:rsidR="00BE0FE9" w:rsidRPr="00330B65" w:rsidRDefault="00BE0FE9" w:rsidP="00BD15FC">
      <w:pPr>
        <w:spacing w:after="6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Apelacyjnego w Katowicach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17 października 2013 r.</w:t>
      </w:r>
      <w:r w:rsidR="007D1889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</w:t>
      </w:r>
      <w:proofErr w:type="spellStart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ACa</w:t>
      </w:r>
      <w:proofErr w:type="spellEnd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594/13</w:t>
      </w:r>
    </w:p>
    <w:p w:rsidR="002243E8" w:rsidRPr="00330B65" w:rsidRDefault="002243E8" w:rsidP="00AD1E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Najwyższego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19 września 2013 r.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 CSK 687/12</w:t>
      </w:r>
    </w:p>
    <w:p w:rsidR="00AD1E96" w:rsidRPr="00330B65" w:rsidRDefault="00DD046E" w:rsidP="00AD1E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Najwyższego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26 czerwca 2013 r.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II CSK 582/12</w:t>
      </w:r>
    </w:p>
    <w:p w:rsidR="006656E2" w:rsidRPr="00330B65" w:rsidRDefault="006656E2" w:rsidP="00AD1E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Apelacyjnego w Białymstoku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19 czerwca 2013 r.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III </w:t>
      </w:r>
      <w:proofErr w:type="spellStart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APa</w:t>
      </w:r>
      <w:proofErr w:type="spellEnd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2/13</w:t>
      </w:r>
    </w:p>
    <w:p w:rsidR="00DC0005" w:rsidRPr="00330B65" w:rsidRDefault="00E125D4" w:rsidP="00AD1E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Apelacyjnego w Krakowie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3 czerwca 2013 r.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III </w:t>
      </w:r>
      <w:proofErr w:type="spellStart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APa</w:t>
      </w:r>
      <w:proofErr w:type="spellEnd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12/13</w:t>
      </w:r>
    </w:p>
    <w:p w:rsidR="00E125D4" w:rsidRPr="00330B65" w:rsidRDefault="00E125D4" w:rsidP="00AD1E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Apelacyjnego w Łodzi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28 maja 2013 r.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</w:t>
      </w:r>
      <w:proofErr w:type="spellStart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ACa</w:t>
      </w:r>
      <w:proofErr w:type="spellEnd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100/13</w:t>
      </w:r>
    </w:p>
    <w:p w:rsidR="005265B0" w:rsidRPr="00330B65" w:rsidRDefault="005265B0" w:rsidP="00AD1E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Najwyższego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13 marca 2013 r.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IV CSK 512/12</w:t>
      </w:r>
    </w:p>
    <w:p w:rsidR="005265B0" w:rsidRPr="00330B65" w:rsidRDefault="005265B0" w:rsidP="00AD1E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Najwyższego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14 lutego 2013 r.</w:t>
      </w:r>
      <w:r w:rsidR="00AD1E96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II CNP 50/12</w:t>
      </w:r>
    </w:p>
    <w:p w:rsidR="00AC582D" w:rsidRPr="00330B65" w:rsidRDefault="00AC582D" w:rsidP="00AD1E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30B65">
        <w:rPr>
          <w:rFonts w:asciiTheme="minorHAnsi" w:hAnsiTheme="minorHAnsi" w:cstheme="minorHAnsi"/>
          <w:bCs/>
          <w:sz w:val="20"/>
          <w:szCs w:val="20"/>
        </w:rPr>
        <w:t>Wyrok</w:t>
      </w:r>
      <w:r w:rsidR="00AD1E96" w:rsidRPr="00330B65">
        <w:rPr>
          <w:rFonts w:asciiTheme="minorHAnsi" w:hAnsiTheme="minorHAnsi" w:cstheme="minorHAnsi"/>
          <w:sz w:val="20"/>
          <w:szCs w:val="20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</w:rPr>
        <w:t>Sądu Apelacyjnego w Katowicach</w:t>
      </w:r>
      <w:r w:rsidR="00AD1E96" w:rsidRPr="00330B65">
        <w:rPr>
          <w:rFonts w:asciiTheme="minorHAnsi" w:hAnsiTheme="minorHAnsi" w:cstheme="minorHAnsi"/>
          <w:sz w:val="20"/>
          <w:szCs w:val="20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</w:rPr>
        <w:t>z dnia 14 lutego 2013 r.</w:t>
      </w:r>
      <w:r w:rsidR="00AD1E96" w:rsidRPr="00330B65">
        <w:rPr>
          <w:rFonts w:asciiTheme="minorHAnsi" w:hAnsiTheme="minorHAnsi" w:cstheme="minorHAnsi"/>
          <w:sz w:val="20"/>
          <w:szCs w:val="20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</w:rPr>
        <w:t xml:space="preserve">I </w:t>
      </w:r>
      <w:proofErr w:type="spellStart"/>
      <w:r w:rsidRPr="00330B65">
        <w:rPr>
          <w:rFonts w:asciiTheme="minorHAnsi" w:hAnsiTheme="minorHAnsi" w:cstheme="minorHAnsi"/>
          <w:bCs/>
          <w:sz w:val="20"/>
          <w:szCs w:val="20"/>
        </w:rPr>
        <w:t>ACa</w:t>
      </w:r>
      <w:proofErr w:type="spellEnd"/>
      <w:r w:rsidRPr="00330B65">
        <w:rPr>
          <w:rFonts w:asciiTheme="minorHAnsi" w:hAnsiTheme="minorHAnsi" w:cstheme="minorHAnsi"/>
          <w:bCs/>
          <w:sz w:val="20"/>
          <w:szCs w:val="20"/>
        </w:rPr>
        <w:t xml:space="preserve"> 970/12</w:t>
      </w:r>
    </w:p>
    <w:p w:rsidR="008F5F0D" w:rsidRPr="00330B65" w:rsidRDefault="008F5F0D" w:rsidP="008F5F0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Sądu Najwyższego z dnia 19 grudnia 2012 r.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II CSK 219/12</w:t>
      </w:r>
    </w:p>
    <w:p w:rsidR="008F5F0D" w:rsidRPr="00330B65" w:rsidRDefault="008F5F0D" w:rsidP="00DB6B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="00DB6B55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Sądu Najwyższego</w:t>
      </w:r>
      <w:r w:rsidR="00DB6B55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z dnia 19 października 2012 r.</w:t>
      </w:r>
      <w:r w:rsidR="00DB6B55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V CSK 501/11</w:t>
      </w:r>
    </w:p>
    <w:p w:rsidR="00DB6B55" w:rsidRPr="00330B65" w:rsidRDefault="00DB6B55" w:rsidP="00DB6B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0B65">
        <w:rPr>
          <w:rFonts w:asciiTheme="minorHAnsi" w:hAnsiTheme="minorHAnsi" w:cstheme="minorHAnsi"/>
          <w:bCs/>
          <w:sz w:val="20"/>
          <w:szCs w:val="20"/>
        </w:rPr>
        <w:t>Uchwała</w:t>
      </w:r>
      <w:r w:rsidRPr="00330B65">
        <w:rPr>
          <w:rFonts w:asciiTheme="minorHAnsi" w:hAnsiTheme="minorHAnsi" w:cstheme="minorHAnsi"/>
          <w:sz w:val="20"/>
          <w:szCs w:val="20"/>
        </w:rPr>
        <w:t xml:space="preserve"> Sądu Najwyższego z dnia 27 września 2012 r. </w:t>
      </w:r>
      <w:r w:rsidRPr="00330B65">
        <w:rPr>
          <w:rFonts w:asciiTheme="minorHAnsi" w:hAnsiTheme="minorHAnsi" w:cstheme="minorHAnsi"/>
          <w:bCs/>
          <w:sz w:val="20"/>
          <w:szCs w:val="20"/>
        </w:rPr>
        <w:t>III CZP 48/12</w:t>
      </w:r>
    </w:p>
    <w:p w:rsidR="00DB6B55" w:rsidRPr="00330B65" w:rsidRDefault="00DB6B55" w:rsidP="00DB6B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0B65">
        <w:rPr>
          <w:rFonts w:asciiTheme="minorHAnsi" w:hAnsiTheme="minorHAnsi" w:cstheme="minorHAnsi"/>
          <w:bCs/>
          <w:sz w:val="20"/>
          <w:szCs w:val="20"/>
        </w:rPr>
        <w:t>Uchwała</w:t>
      </w:r>
      <w:r w:rsidRPr="00330B65">
        <w:rPr>
          <w:rFonts w:asciiTheme="minorHAnsi" w:hAnsiTheme="minorHAnsi" w:cstheme="minorHAnsi"/>
          <w:sz w:val="20"/>
          <w:szCs w:val="20"/>
        </w:rPr>
        <w:t xml:space="preserve"> Sądu Najwyższego z dnia 18 lipca 2012 r. </w:t>
      </w:r>
      <w:r w:rsidRPr="00330B65">
        <w:rPr>
          <w:rFonts w:asciiTheme="minorHAnsi" w:hAnsiTheme="minorHAnsi" w:cstheme="minorHAnsi"/>
          <w:bCs/>
          <w:sz w:val="20"/>
          <w:szCs w:val="20"/>
        </w:rPr>
        <w:t>III CZP 41/12</w:t>
      </w:r>
    </w:p>
    <w:p w:rsidR="00DB6B55" w:rsidRPr="00330B65" w:rsidRDefault="00DB6B55" w:rsidP="00DB6B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330B65">
        <w:rPr>
          <w:rFonts w:asciiTheme="minorHAnsi" w:hAnsiTheme="minorHAnsi" w:cstheme="minorHAnsi"/>
          <w:bCs/>
          <w:sz w:val="20"/>
          <w:szCs w:val="20"/>
        </w:rPr>
        <w:t>Wyrok</w:t>
      </w:r>
      <w:r w:rsidRPr="00330B65">
        <w:rPr>
          <w:rFonts w:asciiTheme="minorHAnsi" w:hAnsiTheme="minorHAnsi" w:cstheme="minorHAnsi"/>
          <w:sz w:val="20"/>
          <w:szCs w:val="20"/>
        </w:rPr>
        <w:t xml:space="preserve"> Sądu Najwyższego z dnia 10 maja 2012 r. </w:t>
      </w:r>
      <w:r w:rsidRPr="00330B65">
        <w:rPr>
          <w:rFonts w:asciiTheme="minorHAnsi" w:hAnsiTheme="minorHAnsi" w:cstheme="minorHAnsi"/>
          <w:bCs/>
          <w:sz w:val="20"/>
          <w:szCs w:val="20"/>
        </w:rPr>
        <w:t>IV CSK 579/11</w:t>
      </w:r>
    </w:p>
    <w:p w:rsidR="00DB6B55" w:rsidRPr="00330B65" w:rsidRDefault="00DB6B55" w:rsidP="00DB6B5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Sądu Najwyższego z dnia 12 kwietnia 2012 r.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II PK 174/11</w:t>
      </w:r>
    </w:p>
    <w:p w:rsidR="002E6AA0" w:rsidRPr="00330B65" w:rsidRDefault="002E6AA0" w:rsidP="002E6A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30B65">
        <w:rPr>
          <w:rFonts w:asciiTheme="minorHAnsi" w:hAnsiTheme="minorHAnsi" w:cstheme="minorHAnsi"/>
          <w:bCs/>
          <w:sz w:val="20"/>
          <w:szCs w:val="20"/>
        </w:rPr>
        <w:t>Uchwała</w:t>
      </w:r>
      <w:r w:rsidRPr="00330B65">
        <w:rPr>
          <w:rFonts w:asciiTheme="minorHAnsi" w:hAnsiTheme="minorHAnsi" w:cstheme="minorHAnsi"/>
          <w:sz w:val="20"/>
          <w:szCs w:val="20"/>
        </w:rPr>
        <w:t xml:space="preserve"> Sądu Najwyższego z dnia 8 września 2011 r. </w:t>
      </w:r>
      <w:r w:rsidRPr="00330B65">
        <w:rPr>
          <w:rFonts w:asciiTheme="minorHAnsi" w:hAnsiTheme="minorHAnsi" w:cstheme="minorHAnsi"/>
          <w:bCs/>
          <w:sz w:val="20"/>
          <w:szCs w:val="20"/>
        </w:rPr>
        <w:t>CZP 43/11</w:t>
      </w:r>
    </w:p>
    <w:p w:rsidR="002E6AA0" w:rsidRPr="00330B65" w:rsidRDefault="002E6AA0" w:rsidP="002E6A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Sądu Najwyższego z dnia 29 kwietnia 2011 r.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 CSK 457/10</w:t>
      </w:r>
    </w:p>
    <w:p w:rsidR="00A82F0E" w:rsidRPr="00330B65" w:rsidRDefault="00A82F0E" w:rsidP="00A82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Sądu Apelacyjnego we Wrocławiu z dnia 12 kwietnia 2011 r.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I </w:t>
      </w:r>
      <w:proofErr w:type="spellStart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ACa</w:t>
      </w:r>
      <w:proofErr w:type="spellEnd"/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 719/10</w:t>
      </w:r>
    </w:p>
    <w:p w:rsidR="00A03498" w:rsidRPr="00330B65" w:rsidRDefault="00A03498" w:rsidP="00A034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Sądu Najwyższego z dnia 10 lutego 2010 r.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V CSK 287/09</w:t>
      </w:r>
    </w:p>
    <w:p w:rsidR="000A5AAC" w:rsidRPr="00330B65" w:rsidRDefault="000A5AAC" w:rsidP="000A5A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Wyrok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Sądu Najwyższego z dnia 9 maja 2008 r. </w:t>
      </w:r>
      <w:r w:rsidRPr="00330B65">
        <w:rPr>
          <w:rFonts w:asciiTheme="minorHAnsi" w:hAnsiTheme="minorHAnsi" w:cstheme="minorHAnsi"/>
          <w:bCs/>
          <w:sz w:val="20"/>
          <w:szCs w:val="20"/>
          <w:lang w:eastAsia="pl-PL"/>
        </w:rPr>
        <w:t>III CSK 366/07</w:t>
      </w:r>
    </w:p>
    <w:p w:rsidR="000A5AAC" w:rsidRPr="00330B65" w:rsidRDefault="000A5AAC" w:rsidP="000A5A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03498" w:rsidRPr="00330B65" w:rsidRDefault="00A03498" w:rsidP="00A0349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35F5E" w:rsidRPr="00330B65" w:rsidRDefault="00435F5E" w:rsidP="00A82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35F5E" w:rsidRPr="00330B65" w:rsidRDefault="00435F5E" w:rsidP="00A82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82F0E" w:rsidRPr="00330B65" w:rsidRDefault="00435F5E" w:rsidP="00A82F0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330B65">
        <w:rPr>
          <w:rFonts w:asciiTheme="minorHAnsi" w:hAnsiTheme="minorHAnsi" w:cstheme="minorHAnsi"/>
          <w:sz w:val="20"/>
          <w:szCs w:val="20"/>
          <w:lang w:eastAsia="pl-PL"/>
        </w:rPr>
        <w:t>Przykładowe kazusy</w:t>
      </w:r>
      <w:r w:rsidR="00C30D7B" w:rsidRPr="00330B6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C91721" w:rsidRPr="00330B65">
        <w:rPr>
          <w:rFonts w:asciiTheme="minorHAnsi" w:hAnsiTheme="minorHAnsi" w:cstheme="minorHAnsi"/>
          <w:sz w:val="20"/>
          <w:szCs w:val="20"/>
          <w:lang w:eastAsia="pl-PL"/>
        </w:rPr>
        <w:t>na ćwiczenia</w:t>
      </w:r>
      <w:r w:rsidRPr="00330B65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2E6AA0" w:rsidRPr="00330B65" w:rsidRDefault="002E6AA0" w:rsidP="002E6AA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35F5E" w:rsidRPr="00330B65" w:rsidRDefault="00435F5E" w:rsidP="00435F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30B65">
        <w:rPr>
          <w:rFonts w:asciiTheme="minorHAnsi" w:hAnsiTheme="minorHAnsi" w:cstheme="minorHAnsi"/>
        </w:rPr>
        <w:t>Powód Jan M. (16 lat)</w:t>
      </w:r>
      <w:r w:rsidR="006F7EB7" w:rsidRPr="00330B65">
        <w:rPr>
          <w:rFonts w:asciiTheme="minorHAnsi" w:hAnsiTheme="minorHAnsi" w:cstheme="minorHAnsi"/>
        </w:rPr>
        <w:t xml:space="preserve"> przechodził w dniu 5 marca 2011</w:t>
      </w:r>
      <w:r w:rsidRPr="00330B65">
        <w:rPr>
          <w:rFonts w:asciiTheme="minorHAnsi" w:hAnsiTheme="minorHAnsi" w:cstheme="minorHAnsi"/>
        </w:rPr>
        <w:t xml:space="preserve"> r. przez pole, gdzie wznosił się słup wysokiego napięcia. Powód „z ciekawości” wspiął się na ten słup na wys. ok. </w:t>
      </w:r>
      <w:smartTag w:uri="urn:schemas-microsoft-com:office:smarttags" w:element="metricconverter">
        <w:smartTagPr>
          <w:attr w:name="ProductID" w:val="1,5 m"/>
        </w:smartTagPr>
        <w:r w:rsidRPr="00330B65">
          <w:rPr>
            <w:rFonts w:asciiTheme="minorHAnsi" w:hAnsiTheme="minorHAnsi" w:cstheme="minorHAnsi"/>
          </w:rPr>
          <w:t>1,5 m</w:t>
        </w:r>
      </w:smartTag>
      <w:r w:rsidRPr="00330B65">
        <w:rPr>
          <w:rFonts w:asciiTheme="minorHAnsi" w:hAnsiTheme="minorHAnsi" w:cstheme="minorHAnsi"/>
        </w:rPr>
        <w:t xml:space="preserve">. Wówczas nastąpiło porażenie łukiem elektrycznym, co spowodowało paraliż lewej strony ciała oraz konieczność amputacji lewej stopy. </w:t>
      </w:r>
      <w:r w:rsidR="008B70C7" w:rsidRPr="00330B65">
        <w:rPr>
          <w:rFonts w:asciiTheme="minorHAnsi" w:hAnsiTheme="minorHAnsi" w:cstheme="minorHAnsi"/>
        </w:rPr>
        <w:t>E. S.A, właścicielka słupa</w:t>
      </w:r>
      <w:r w:rsidR="006F7EB7" w:rsidRPr="00330B65">
        <w:rPr>
          <w:rFonts w:asciiTheme="minorHAnsi" w:hAnsiTheme="minorHAnsi" w:cstheme="minorHAnsi"/>
        </w:rPr>
        <w:t xml:space="preserve"> twierdzi,</w:t>
      </w:r>
      <w:r w:rsidRPr="00330B65">
        <w:rPr>
          <w:rFonts w:asciiTheme="minorHAnsi" w:hAnsiTheme="minorHAnsi" w:cstheme="minorHAnsi"/>
        </w:rPr>
        <w:t xml:space="preserve"> że urządzenie elektryczne spełniało wszelkie przepisane prawem europejskim (w tym polskim) standardy.</w:t>
      </w:r>
      <w:r w:rsidR="00E84AF9" w:rsidRPr="00330B65">
        <w:rPr>
          <w:rFonts w:asciiTheme="minorHAnsi" w:hAnsiTheme="minorHAnsi" w:cstheme="minorHAnsi"/>
        </w:rPr>
        <w:t xml:space="preserve"> Oceń roszczenia Jana M.</w:t>
      </w:r>
    </w:p>
    <w:p w:rsidR="006F7EB7" w:rsidRPr="00330B65" w:rsidRDefault="006F7EB7" w:rsidP="00435F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30B65">
        <w:rPr>
          <w:rFonts w:asciiTheme="minorHAnsi" w:hAnsiTheme="minorHAnsi" w:cstheme="minorHAnsi"/>
        </w:rPr>
        <w:t>Joanna D. była uzależniona od narkotyków i środków psychotropowych. 16 maja 2011 r. weszła do toalety w centrum handlowym X, gdzie przyjęła dawkę heroiny, po tym jak wcześniej zażyła jeszcze w domu lek psychotropowy W. Ciało Joanny D. zostało odnalezione następnego dnia przez pracowników ochrony.</w:t>
      </w:r>
      <w:r w:rsidR="00774378" w:rsidRPr="00330B65">
        <w:rPr>
          <w:rFonts w:asciiTheme="minorHAnsi" w:hAnsiTheme="minorHAnsi" w:cstheme="minorHAnsi"/>
        </w:rPr>
        <w:t xml:space="preserve"> Do śmierci doszło na skutek uduszenia </w:t>
      </w:r>
      <w:r w:rsidR="00B67B7A" w:rsidRPr="00330B65">
        <w:rPr>
          <w:rFonts w:asciiTheme="minorHAnsi" w:hAnsiTheme="minorHAnsi" w:cstheme="minorHAnsi"/>
        </w:rPr>
        <w:t xml:space="preserve">śliną </w:t>
      </w:r>
      <w:r w:rsidR="00774378" w:rsidRPr="00330B65">
        <w:rPr>
          <w:rFonts w:asciiTheme="minorHAnsi" w:hAnsiTheme="minorHAnsi" w:cstheme="minorHAnsi"/>
        </w:rPr>
        <w:t>będącego wynikiem długotrwałego</w:t>
      </w:r>
      <w:r w:rsidR="00B67B7A" w:rsidRPr="00330B65">
        <w:rPr>
          <w:rFonts w:asciiTheme="minorHAnsi" w:hAnsiTheme="minorHAnsi" w:cstheme="minorHAnsi"/>
        </w:rPr>
        <w:t xml:space="preserve"> ataku epilep</w:t>
      </w:r>
      <w:r w:rsidR="00774378" w:rsidRPr="00330B65">
        <w:rPr>
          <w:rFonts w:asciiTheme="minorHAnsi" w:hAnsiTheme="minorHAnsi" w:cstheme="minorHAnsi"/>
        </w:rPr>
        <w:t>sji polekowej.</w:t>
      </w:r>
      <w:r w:rsidRPr="00330B65">
        <w:rPr>
          <w:rFonts w:asciiTheme="minorHAnsi" w:hAnsiTheme="minorHAnsi" w:cstheme="minorHAnsi"/>
        </w:rPr>
        <w:t xml:space="preserve"> Z obowiązujących w centrum handlowym regulaminów i z umowy ze spółką ochroniarską zawartej przez R. SA – właścicielkę centrum handlowego wynika, że pracownicy ochrony mieli obowiązek o 22.00 </w:t>
      </w:r>
      <w:r w:rsidR="00E84AF9" w:rsidRPr="00330B65">
        <w:rPr>
          <w:rFonts w:asciiTheme="minorHAnsi" w:hAnsiTheme="minorHAnsi" w:cstheme="minorHAnsi"/>
        </w:rPr>
        <w:t>sprawdzić wszystkie po</w:t>
      </w:r>
      <w:r w:rsidRPr="00330B65">
        <w:rPr>
          <w:rFonts w:asciiTheme="minorHAnsi" w:hAnsiTheme="minorHAnsi" w:cstheme="minorHAnsi"/>
        </w:rPr>
        <w:t>mieszczenia, czego w przypadku miejsc</w:t>
      </w:r>
      <w:r w:rsidR="00B67B7A" w:rsidRPr="00330B65">
        <w:rPr>
          <w:rFonts w:asciiTheme="minorHAnsi" w:hAnsiTheme="minorHAnsi" w:cstheme="minorHAnsi"/>
        </w:rPr>
        <w:t>a, gdzie znajdowała się Joanna D</w:t>
      </w:r>
      <w:r w:rsidRPr="00330B65">
        <w:rPr>
          <w:rFonts w:asciiTheme="minorHAnsi" w:hAnsiTheme="minorHAnsi" w:cstheme="minorHAnsi"/>
        </w:rPr>
        <w:t>. nie uczynili.</w:t>
      </w:r>
      <w:r w:rsidR="00E84AF9" w:rsidRPr="00330B65">
        <w:rPr>
          <w:rFonts w:asciiTheme="minorHAnsi" w:hAnsiTheme="minorHAnsi" w:cstheme="minorHAnsi"/>
        </w:rPr>
        <w:t xml:space="preserve"> Z opinii lekarskiej wynika, że gdyby to uczynili</w:t>
      </w:r>
      <w:r w:rsidR="00B67B7A" w:rsidRPr="00330B65">
        <w:rPr>
          <w:rFonts w:asciiTheme="minorHAnsi" w:hAnsiTheme="minorHAnsi" w:cstheme="minorHAnsi"/>
        </w:rPr>
        <w:t xml:space="preserve"> i znaleźli Joannę D.</w:t>
      </w:r>
      <w:r w:rsidR="00E84AF9" w:rsidRPr="00330B65">
        <w:rPr>
          <w:rFonts w:asciiTheme="minorHAnsi" w:hAnsiTheme="minorHAnsi" w:cstheme="minorHAnsi"/>
        </w:rPr>
        <w:t>, nie dosz</w:t>
      </w:r>
      <w:r w:rsidR="00774378" w:rsidRPr="00330B65">
        <w:rPr>
          <w:rFonts w:asciiTheme="minorHAnsi" w:hAnsiTheme="minorHAnsi" w:cstheme="minorHAnsi"/>
        </w:rPr>
        <w:t xml:space="preserve">łoby do </w:t>
      </w:r>
      <w:r w:rsidR="00B67B7A" w:rsidRPr="00330B65">
        <w:rPr>
          <w:rFonts w:asciiTheme="minorHAnsi" w:hAnsiTheme="minorHAnsi" w:cstheme="minorHAnsi"/>
        </w:rPr>
        <w:t>jej śmierci</w:t>
      </w:r>
      <w:r w:rsidR="00774378" w:rsidRPr="00330B65">
        <w:rPr>
          <w:rFonts w:asciiTheme="minorHAnsi" w:hAnsiTheme="minorHAnsi" w:cstheme="minorHAnsi"/>
        </w:rPr>
        <w:t>. Oceń roszczenia rodziców Joanny W.</w:t>
      </w:r>
    </w:p>
    <w:p w:rsidR="00774378" w:rsidRPr="00330B65" w:rsidRDefault="00774378" w:rsidP="00435F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30B65">
        <w:rPr>
          <w:rFonts w:asciiTheme="minorHAnsi" w:hAnsiTheme="minorHAnsi" w:cstheme="minorHAnsi"/>
        </w:rPr>
        <w:lastRenderedPageBreak/>
        <w:t>W programie publicystycznym w TV występujący tam ekspert użył w stosunku do YYY.SA określenia „kłębowisko żmij”. Oceń roszczenia przysługujące YYY.SA</w:t>
      </w:r>
    </w:p>
    <w:p w:rsidR="00774378" w:rsidRPr="00330B65" w:rsidRDefault="008261F6" w:rsidP="00435F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30B65">
        <w:rPr>
          <w:rFonts w:asciiTheme="minorHAnsi" w:hAnsiTheme="minorHAnsi" w:cstheme="minorHAnsi"/>
        </w:rPr>
        <w:t>Budujący drogę</w:t>
      </w:r>
      <w:r w:rsidR="00774378" w:rsidRPr="00330B65">
        <w:rPr>
          <w:rFonts w:asciiTheme="minorHAnsi" w:hAnsiTheme="minorHAnsi" w:cstheme="minorHAnsi"/>
        </w:rPr>
        <w:t xml:space="preserve"> S122 Inwestor S.A. zawarł kontrakt na wykonanie odcinka 67 z YYY.SA. W trakcie prac doszło do zburzenia płotu sąsiadującej posesji Damiana C</w:t>
      </w:r>
      <w:r w:rsidRPr="00330B65">
        <w:rPr>
          <w:rFonts w:asciiTheme="minorHAnsi" w:hAnsiTheme="minorHAnsi" w:cstheme="minorHAnsi"/>
        </w:rPr>
        <w:t>.</w:t>
      </w:r>
      <w:r w:rsidR="00774378" w:rsidRPr="00330B65">
        <w:rPr>
          <w:rFonts w:asciiTheme="minorHAnsi" w:hAnsiTheme="minorHAnsi" w:cstheme="minorHAnsi"/>
        </w:rPr>
        <w:t>, wskutek czego nieznani sprawcy wynieśli z niej wszystkie elementy metalowe, w tym znajdujące się tam transformatory o łącznej wartości 2,6 mln zł. Oceń roszczenia przysługujące Damianowi C.</w:t>
      </w:r>
    </w:p>
    <w:p w:rsidR="00774378" w:rsidRPr="00330B65" w:rsidRDefault="00774378" w:rsidP="00435F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30B65">
        <w:rPr>
          <w:rFonts w:asciiTheme="minorHAnsi" w:hAnsiTheme="minorHAnsi" w:cstheme="minorHAnsi"/>
        </w:rPr>
        <w:t>Damian C. wynajmuje mieszkanie nr 5 w bloku mieszkalnym. Mieszkanie nr 3 (pod nim) należące do Wojciecha K. zostało właśnie zalane. Oceń podstawę prawną roszczenia przysługującego Wojciechowi K.</w:t>
      </w:r>
    </w:p>
    <w:p w:rsidR="00774378" w:rsidRPr="00330B65" w:rsidRDefault="00774378" w:rsidP="00435F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30B65">
        <w:rPr>
          <w:rFonts w:asciiTheme="minorHAnsi" w:hAnsiTheme="minorHAnsi" w:cstheme="minorHAnsi"/>
        </w:rPr>
        <w:t>5 grudnia 2012 r. poruszająca się w terenie zabudowanym z prędkością 50 km/h, jadąca samochodem osobowym VW Polo Joanna D. zauważyła poruszającego się zygzakiem na rowerze Marka P. Nie zwalniając, postanowiła „</w:t>
      </w:r>
      <w:r w:rsidR="00B67B7A" w:rsidRPr="00330B65">
        <w:rPr>
          <w:rFonts w:asciiTheme="minorHAnsi" w:hAnsiTheme="minorHAnsi" w:cstheme="minorHAnsi"/>
        </w:rPr>
        <w:t>o</w:t>
      </w:r>
      <w:r w:rsidR="008261F6" w:rsidRPr="00330B65">
        <w:rPr>
          <w:rFonts w:asciiTheme="minorHAnsi" w:hAnsiTheme="minorHAnsi" w:cstheme="minorHAnsi"/>
        </w:rPr>
        <w:t>minąć” go szeroki</w:t>
      </w:r>
      <w:r w:rsidRPr="00330B65">
        <w:rPr>
          <w:rFonts w:asciiTheme="minorHAnsi" w:hAnsiTheme="minorHAnsi" w:cstheme="minorHAnsi"/>
        </w:rPr>
        <w:t xml:space="preserve">m łukiem. W trakcie manewru Marek P. wtoczył się pod koła jej samochodu, ponosząc </w:t>
      </w:r>
      <w:r w:rsidR="00C91721" w:rsidRPr="00330B65">
        <w:rPr>
          <w:rFonts w:asciiTheme="minorHAnsi" w:hAnsiTheme="minorHAnsi" w:cstheme="minorHAnsi"/>
        </w:rPr>
        <w:t>znaczne obrażenia</w:t>
      </w:r>
      <w:r w:rsidRPr="00330B65">
        <w:rPr>
          <w:rFonts w:asciiTheme="minorHAnsi" w:hAnsiTheme="minorHAnsi" w:cstheme="minorHAnsi"/>
        </w:rPr>
        <w:t>.</w:t>
      </w:r>
      <w:r w:rsidR="00C91721" w:rsidRPr="00330B65">
        <w:rPr>
          <w:rFonts w:asciiTheme="minorHAnsi" w:hAnsiTheme="minorHAnsi" w:cstheme="minorHAnsi"/>
        </w:rPr>
        <w:t xml:space="preserve"> Z  ustaleń wynika, że miał 1,5 promila alkoholu we krwi. Na skutek wypadku </w:t>
      </w:r>
      <w:r w:rsidR="00B67B7A" w:rsidRPr="00330B65">
        <w:rPr>
          <w:rFonts w:asciiTheme="minorHAnsi" w:hAnsiTheme="minorHAnsi" w:cstheme="minorHAnsi"/>
        </w:rPr>
        <w:t xml:space="preserve">stracił lewą nogę i </w:t>
      </w:r>
      <w:r w:rsidR="00C91721" w:rsidRPr="00330B65">
        <w:rPr>
          <w:rFonts w:asciiTheme="minorHAnsi" w:hAnsiTheme="minorHAnsi" w:cstheme="minorHAnsi"/>
        </w:rPr>
        <w:t xml:space="preserve">stał się trwale niezdolny do pracy. Domaga się odszkodowania za wydatki poniesione na leczenie w kwocie 30.000, </w:t>
      </w:r>
      <w:proofErr w:type="spellStart"/>
      <w:r w:rsidR="00C91721" w:rsidRPr="00330B65">
        <w:rPr>
          <w:rFonts w:asciiTheme="minorHAnsi" w:hAnsiTheme="minorHAnsi" w:cstheme="minorHAnsi"/>
        </w:rPr>
        <w:t>zl</w:t>
      </w:r>
      <w:proofErr w:type="spellEnd"/>
      <w:r w:rsidR="00C91721" w:rsidRPr="00330B65">
        <w:rPr>
          <w:rFonts w:asciiTheme="minorHAnsi" w:hAnsiTheme="minorHAnsi" w:cstheme="minorHAnsi"/>
        </w:rPr>
        <w:t xml:space="preserve"> oraz renty wyrównawczej w kwocie. 1.500, zł </w:t>
      </w:r>
      <w:r w:rsidR="008261F6" w:rsidRPr="00330B65">
        <w:rPr>
          <w:rFonts w:asciiTheme="minorHAnsi" w:hAnsiTheme="minorHAnsi" w:cstheme="minorHAnsi"/>
        </w:rPr>
        <w:t xml:space="preserve"> </w:t>
      </w:r>
      <w:r w:rsidR="00C91721" w:rsidRPr="00330B65">
        <w:rPr>
          <w:rFonts w:asciiTheme="minorHAnsi" w:hAnsiTheme="minorHAnsi" w:cstheme="minorHAnsi"/>
        </w:rPr>
        <w:t>miesięcznie</w:t>
      </w:r>
      <w:r w:rsidR="008261F6" w:rsidRPr="00330B65">
        <w:rPr>
          <w:rFonts w:asciiTheme="minorHAnsi" w:hAnsiTheme="minorHAnsi" w:cstheme="minorHAnsi"/>
        </w:rPr>
        <w:t>, a nadto zadośćuczynienia w kwocie 45.000,-zł</w:t>
      </w:r>
      <w:r w:rsidR="00C91721" w:rsidRPr="00330B65">
        <w:rPr>
          <w:rFonts w:asciiTheme="minorHAnsi" w:hAnsiTheme="minorHAnsi" w:cstheme="minorHAnsi"/>
        </w:rPr>
        <w:t>. Oceń szanse obrony Joanny D.</w:t>
      </w:r>
    </w:p>
    <w:p w:rsidR="00C91721" w:rsidRPr="00330B65" w:rsidRDefault="00C91721" w:rsidP="00435F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30B65">
        <w:rPr>
          <w:rFonts w:asciiTheme="minorHAnsi" w:hAnsiTheme="minorHAnsi" w:cstheme="minorHAnsi"/>
        </w:rPr>
        <w:t>Pracujący na ranną zmianę Mariusz J. postanowił „zrobić porządek” wokół</w:t>
      </w:r>
      <w:r w:rsidR="00CF016D" w:rsidRPr="00330B65">
        <w:rPr>
          <w:rFonts w:asciiTheme="minorHAnsi" w:hAnsiTheme="minorHAnsi" w:cstheme="minorHAnsi"/>
        </w:rPr>
        <w:t xml:space="preserve"> taśmociągu</w:t>
      </w:r>
      <w:r w:rsidRPr="00330B65">
        <w:rPr>
          <w:rFonts w:asciiTheme="minorHAnsi" w:hAnsiTheme="minorHAnsi" w:cstheme="minorHAnsi"/>
        </w:rPr>
        <w:t>.</w:t>
      </w:r>
      <w:r w:rsidR="00CF016D" w:rsidRPr="00330B65">
        <w:rPr>
          <w:rFonts w:asciiTheme="minorHAnsi" w:hAnsiTheme="minorHAnsi" w:cstheme="minorHAnsi"/>
        </w:rPr>
        <w:t xml:space="preserve"> Na przeszkoleniu bhp został pouczony, że nie wolno mu się zbliżać do taśmociągu bliżej niż na odległość jednego metra (linia na podłodze). Mariusz J. zauważywszy, że z taśmociągu spadł niewielki kawałek betonu</w:t>
      </w:r>
      <w:r w:rsidR="00B67B7A" w:rsidRPr="00330B65">
        <w:rPr>
          <w:rFonts w:asciiTheme="minorHAnsi" w:hAnsiTheme="minorHAnsi" w:cstheme="minorHAnsi"/>
        </w:rPr>
        <w:t xml:space="preserve"> postanowił wrzucić go na taśmociąg</w:t>
      </w:r>
      <w:r w:rsidR="00CF016D" w:rsidRPr="00330B65">
        <w:rPr>
          <w:rFonts w:asciiTheme="minorHAnsi" w:hAnsiTheme="minorHAnsi" w:cstheme="minorHAnsi"/>
        </w:rPr>
        <w:t xml:space="preserve">. </w:t>
      </w:r>
      <w:r w:rsidR="00B67B7A" w:rsidRPr="00330B65">
        <w:rPr>
          <w:rFonts w:asciiTheme="minorHAnsi" w:hAnsiTheme="minorHAnsi" w:cstheme="minorHAnsi"/>
        </w:rPr>
        <w:t>Kiedy ocknął się leżał na posadzce. Okazało się, że taśmociąg wyrwał mu rękę z ramienia. Obecnie jest inwalidą. Oceń roszczenia przysługujące Mariuszowi J. przeciwko właścicielce zakładu P Sp. z o.o.</w:t>
      </w:r>
    </w:p>
    <w:p w:rsidR="00BE0FE9" w:rsidRPr="00330B65" w:rsidRDefault="00BE0FE9" w:rsidP="003C5E98">
      <w:pPr>
        <w:spacing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BE0FE9" w:rsidRPr="00330B65" w:rsidSect="0021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20EB"/>
    <w:multiLevelType w:val="hybridMultilevel"/>
    <w:tmpl w:val="63284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5B5D"/>
    <w:multiLevelType w:val="hybridMultilevel"/>
    <w:tmpl w:val="D62E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570"/>
    <w:multiLevelType w:val="hybridMultilevel"/>
    <w:tmpl w:val="42262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F56A6"/>
    <w:multiLevelType w:val="hybridMultilevel"/>
    <w:tmpl w:val="F2BCC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66C2"/>
    <w:multiLevelType w:val="hybridMultilevel"/>
    <w:tmpl w:val="26E0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D0CEA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835FE"/>
    <w:multiLevelType w:val="hybridMultilevel"/>
    <w:tmpl w:val="0252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829E8"/>
    <w:multiLevelType w:val="hybridMultilevel"/>
    <w:tmpl w:val="AF68CEFE"/>
    <w:lvl w:ilvl="0" w:tplc="6D90C39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3295"/>
    <w:multiLevelType w:val="hybridMultilevel"/>
    <w:tmpl w:val="E4788C92"/>
    <w:lvl w:ilvl="0" w:tplc="7CE01E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C1854"/>
    <w:multiLevelType w:val="hybridMultilevel"/>
    <w:tmpl w:val="95C07036"/>
    <w:lvl w:ilvl="0" w:tplc="C108DDE8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C5"/>
    <w:rsid w:val="00000EFE"/>
    <w:rsid w:val="0002304D"/>
    <w:rsid w:val="000847DE"/>
    <w:rsid w:val="000935AA"/>
    <w:rsid w:val="000A5AAC"/>
    <w:rsid w:val="001444C5"/>
    <w:rsid w:val="0015262F"/>
    <w:rsid w:val="001A36C6"/>
    <w:rsid w:val="001C4C68"/>
    <w:rsid w:val="0021427F"/>
    <w:rsid w:val="002243E8"/>
    <w:rsid w:val="002304CC"/>
    <w:rsid w:val="00277DFE"/>
    <w:rsid w:val="002E6AA0"/>
    <w:rsid w:val="002E713B"/>
    <w:rsid w:val="00313884"/>
    <w:rsid w:val="00313FB7"/>
    <w:rsid w:val="00320BC3"/>
    <w:rsid w:val="00330B65"/>
    <w:rsid w:val="003311EE"/>
    <w:rsid w:val="003C5E98"/>
    <w:rsid w:val="00403973"/>
    <w:rsid w:val="004348A6"/>
    <w:rsid w:val="00435F5E"/>
    <w:rsid w:val="004B7E43"/>
    <w:rsid w:val="004D4C2F"/>
    <w:rsid w:val="005047A4"/>
    <w:rsid w:val="005265B0"/>
    <w:rsid w:val="005629D8"/>
    <w:rsid w:val="005A6D6B"/>
    <w:rsid w:val="006035E3"/>
    <w:rsid w:val="0061620B"/>
    <w:rsid w:val="006207BB"/>
    <w:rsid w:val="00634AA1"/>
    <w:rsid w:val="006656E2"/>
    <w:rsid w:val="006D2781"/>
    <w:rsid w:val="006F7EB7"/>
    <w:rsid w:val="007471AE"/>
    <w:rsid w:val="00774378"/>
    <w:rsid w:val="007D1889"/>
    <w:rsid w:val="008261F6"/>
    <w:rsid w:val="008337A1"/>
    <w:rsid w:val="0084011C"/>
    <w:rsid w:val="008B1669"/>
    <w:rsid w:val="008B70C7"/>
    <w:rsid w:val="008C3F6F"/>
    <w:rsid w:val="008E30D8"/>
    <w:rsid w:val="008F5F0D"/>
    <w:rsid w:val="00940916"/>
    <w:rsid w:val="00942C1B"/>
    <w:rsid w:val="009E10B2"/>
    <w:rsid w:val="009E4709"/>
    <w:rsid w:val="009E69C6"/>
    <w:rsid w:val="00A0007A"/>
    <w:rsid w:val="00A009F4"/>
    <w:rsid w:val="00A03498"/>
    <w:rsid w:val="00A82F0E"/>
    <w:rsid w:val="00A918E7"/>
    <w:rsid w:val="00AC582D"/>
    <w:rsid w:val="00AC771A"/>
    <w:rsid w:val="00AD1E96"/>
    <w:rsid w:val="00AE214C"/>
    <w:rsid w:val="00B67B7A"/>
    <w:rsid w:val="00B72A2D"/>
    <w:rsid w:val="00BB28BB"/>
    <w:rsid w:val="00BD15FC"/>
    <w:rsid w:val="00BE0FE9"/>
    <w:rsid w:val="00BE2893"/>
    <w:rsid w:val="00BF2917"/>
    <w:rsid w:val="00C30D7B"/>
    <w:rsid w:val="00C4072E"/>
    <w:rsid w:val="00C87708"/>
    <w:rsid w:val="00C91721"/>
    <w:rsid w:val="00CA3E57"/>
    <w:rsid w:val="00CC5E31"/>
    <w:rsid w:val="00CF016D"/>
    <w:rsid w:val="00CF07EB"/>
    <w:rsid w:val="00D64AEC"/>
    <w:rsid w:val="00DB0064"/>
    <w:rsid w:val="00DB6B55"/>
    <w:rsid w:val="00DC0005"/>
    <w:rsid w:val="00DD046E"/>
    <w:rsid w:val="00DF07BC"/>
    <w:rsid w:val="00DF76B6"/>
    <w:rsid w:val="00E03074"/>
    <w:rsid w:val="00E07306"/>
    <w:rsid w:val="00E125D4"/>
    <w:rsid w:val="00E4466A"/>
    <w:rsid w:val="00E76DDE"/>
    <w:rsid w:val="00E84AF9"/>
    <w:rsid w:val="00E97FBB"/>
    <w:rsid w:val="00EB3364"/>
    <w:rsid w:val="00EB5455"/>
    <w:rsid w:val="00EF4BEE"/>
    <w:rsid w:val="00EF557E"/>
    <w:rsid w:val="00F070BE"/>
    <w:rsid w:val="00F4224D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6208CCF6"/>
  <w15:docId w15:val="{0347FDDF-9DBB-42A0-BF7F-891D4D7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2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364"/>
    <w:pPr>
      <w:ind w:left="708"/>
    </w:pPr>
  </w:style>
  <w:style w:type="character" w:styleId="Hipercze">
    <w:name w:val="Hyperlink"/>
    <w:basedOn w:val="Domylnaczcionkaakapitu"/>
    <w:uiPriority w:val="99"/>
    <w:unhideWhenUsed/>
    <w:rsid w:val="00084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83C0-D4A1-46C4-A7B6-F423C7B0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Gorczyński</dc:creator>
  <cp:lastModifiedBy>Grzegoż Żmij</cp:lastModifiedBy>
  <cp:revision>17</cp:revision>
  <dcterms:created xsi:type="dcterms:W3CDTF">2014-03-03T09:46:00Z</dcterms:created>
  <dcterms:modified xsi:type="dcterms:W3CDTF">2018-02-27T19:47:00Z</dcterms:modified>
</cp:coreProperties>
</file>