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81DDE" w14:textId="77777777" w:rsidR="00D51AAA" w:rsidRPr="001035F4" w:rsidRDefault="00D51AAA"/>
    <w:p w14:paraId="0D301CBA" w14:textId="50B7A24C" w:rsidR="00D51AAA" w:rsidRPr="001035F4" w:rsidRDefault="00D51AAA">
      <w:bookmarkStart w:id="0" w:name="_GoBack"/>
      <w:bookmarkEnd w:id="0"/>
    </w:p>
    <w:p w14:paraId="4326D47D" w14:textId="77777777" w:rsidR="00D51AAA" w:rsidRPr="001035F4" w:rsidRDefault="00D51AAA"/>
    <w:p w14:paraId="6B88A5EB" w14:textId="09CAC651" w:rsidR="00D51AAA" w:rsidRPr="001035F4" w:rsidRDefault="00D51AAA">
      <w:r w:rsidRPr="001035F4">
        <w:t xml:space="preserve"> </w:t>
      </w:r>
    </w:p>
    <w:p w14:paraId="3332BA81" w14:textId="77777777" w:rsidR="00D51AAA" w:rsidRPr="001035F4" w:rsidRDefault="00C6302F">
      <w:r w:rsidRPr="001035F4">
        <w:t>Proszę o sporządzenie krótkich opinii prawnych do opisanych stanów faktycznych wskazując czy doszło do naruszenia przepisów związanych z etyką i wykonywaniem zawodu radcy prawnego</w:t>
      </w:r>
      <w:r w:rsidR="00D51AAA" w:rsidRPr="001035F4">
        <w:t>, a jeżeli tak to jakich</w:t>
      </w:r>
      <w:r w:rsidR="000918F5" w:rsidRPr="001035F4">
        <w:t xml:space="preserve"> </w:t>
      </w:r>
      <w:r w:rsidR="00D51AAA" w:rsidRPr="001035F4">
        <w:t>lub</w:t>
      </w:r>
      <w:r w:rsidR="000918F5" w:rsidRPr="001035F4">
        <w:t xml:space="preserve"> wskazać właściwy  sposób zachowania radcy prawnego.</w:t>
      </w:r>
    </w:p>
    <w:p w14:paraId="33C8F381" w14:textId="43B288B1" w:rsidR="00C6302F" w:rsidRPr="001035F4" w:rsidRDefault="000918F5">
      <w:r w:rsidRPr="001035F4">
        <w:t xml:space="preserve"> </w:t>
      </w:r>
    </w:p>
    <w:p w14:paraId="3F3263A5" w14:textId="3E56C62E" w:rsidR="00C6302F" w:rsidRPr="001035F4" w:rsidRDefault="00C6302F" w:rsidP="00C6302F">
      <w:pPr>
        <w:pStyle w:val="Akapitzlist"/>
        <w:numPr>
          <w:ilvl w:val="0"/>
          <w:numId w:val="1"/>
        </w:numPr>
      </w:pPr>
      <w:r w:rsidRPr="001035F4">
        <w:t>Radca prawny sporządził opinię prawną, w której opierając się na orzecznictwie ETPC sformułował pogląd dotyczący prawa klienta do odszkodowania od Skarbu Państwa w przypadku wpisania jego nieruchomości do rejestru zabytków jako zabytku nieruchomego. Klient, w ślad za tym stanowiskiem, pozwał Skarb Państwa i prawomocnie przegrał. Zarzucił następnie radcy prawnemu, że ten sporządził opinię prawną niezgodnie z prawem, przez co zarówno naraził klienta na szkodę jak i uchybił zasadom etyki i wykonywania zawodu radców prawnych.</w:t>
      </w:r>
    </w:p>
    <w:p w14:paraId="21FDABCE" w14:textId="77777777" w:rsidR="000918F5" w:rsidRPr="001035F4" w:rsidRDefault="000918F5" w:rsidP="000918F5">
      <w:pPr>
        <w:pStyle w:val="Akapitzlist"/>
      </w:pPr>
    </w:p>
    <w:p w14:paraId="1FA496B5" w14:textId="1BB4B031" w:rsidR="000918F5" w:rsidRPr="001035F4" w:rsidRDefault="000918F5" w:rsidP="00C6302F">
      <w:pPr>
        <w:pStyle w:val="Akapitzlist"/>
        <w:numPr>
          <w:ilvl w:val="0"/>
          <w:numId w:val="1"/>
        </w:numPr>
      </w:pPr>
      <w:r w:rsidRPr="001035F4">
        <w:t xml:space="preserve">Radca prawny, zatrudniony w kancelarii (urzędzie) konstytucyjnego organu państwa, sporządził opinię prawną dotyczącą zgodności z Konstytucją i EKPC ustawy uchwalonej przez Sejm. Organ konstytucyjny polecił mu jednak zmienić opinię w ten sposób, aby wynikało z niej, że uchwalona ustawa narusza Konstytucję. Radca prawny uczynił to, w treści opinii zastrzegając, że stanowi ona wyraz poglądów [konstytucyjnego organu państwa tu podano jego nazwę]. Działacze społeczni, zaangażowani w przygotowanie projektu ustawy i lobbujący na rzecz jej uchwalenia, zarzucili radcy prawnemu naruszenie </w:t>
      </w:r>
      <w:r w:rsidRPr="001035F4">
        <w:t>zasad etyki i wykonywania zawodu.</w:t>
      </w:r>
    </w:p>
    <w:p w14:paraId="622BA053" w14:textId="77777777" w:rsidR="000918F5" w:rsidRPr="001035F4" w:rsidRDefault="000918F5" w:rsidP="000918F5">
      <w:pPr>
        <w:pStyle w:val="Akapitzlist"/>
      </w:pPr>
    </w:p>
    <w:p w14:paraId="7DD7FDAC" w14:textId="77777777" w:rsidR="000918F5" w:rsidRPr="001035F4" w:rsidRDefault="000918F5" w:rsidP="000918F5">
      <w:pPr>
        <w:pStyle w:val="Akapitzlist"/>
      </w:pPr>
    </w:p>
    <w:p w14:paraId="4780E17E" w14:textId="4874D695" w:rsidR="000918F5" w:rsidRPr="001035F4" w:rsidRDefault="000918F5" w:rsidP="000918F5">
      <w:pPr>
        <w:pStyle w:val="Akapitzlist"/>
        <w:numPr>
          <w:ilvl w:val="0"/>
          <w:numId w:val="1"/>
        </w:numPr>
      </w:pPr>
      <w:r w:rsidRPr="001035F4">
        <w:t>Anna W. jest zatrudniona w spółce akcyjnej w dziale prawnym. Sąd zażądał od radcy prawnego dokumentów wytworzonych w dziale prawnym, uzasadniając to dobrem wymiaru sprawiedliwości w postępowaniu karnym przeciwko Prezesowi S.A.</w:t>
      </w:r>
    </w:p>
    <w:p w14:paraId="4558EDEB" w14:textId="77777777" w:rsidR="000918F5" w:rsidRPr="001035F4" w:rsidRDefault="000918F5" w:rsidP="000918F5">
      <w:pPr>
        <w:pStyle w:val="Akapitzlist"/>
      </w:pPr>
    </w:p>
    <w:p w14:paraId="5D01387F" w14:textId="79ACDCCF" w:rsidR="000918F5" w:rsidRPr="001035F4" w:rsidRDefault="000918F5" w:rsidP="000918F5">
      <w:pPr>
        <w:pStyle w:val="Akapitzlist"/>
        <w:numPr>
          <w:ilvl w:val="0"/>
          <w:numId w:val="1"/>
        </w:numPr>
      </w:pPr>
      <w:r w:rsidRPr="001035F4">
        <w:t xml:space="preserve">Radca prawny Jędrzej Z. umieścił na stronie internetowej swojej kancelarii następującą informację: Kancelaria adwokacka Jędrzeja Z. udziela wszechstronnej pomocy prawnej w zakresie spraw karnych, cywilnych, rodzinnych i administracyjnych. W latach </w:t>
      </w:r>
      <w:r w:rsidR="00D51AAA" w:rsidRPr="001035F4">
        <w:t xml:space="preserve">…… </w:t>
      </w:r>
      <w:r w:rsidRPr="001035F4">
        <w:t xml:space="preserve">wygraliśmy dla naszych klientów 99 spraw sądowych!. Czy taka informacja jest dopuszczalna? </w:t>
      </w:r>
    </w:p>
    <w:p w14:paraId="587BCEC7" w14:textId="77777777" w:rsidR="000918F5" w:rsidRPr="001035F4" w:rsidRDefault="000918F5" w:rsidP="000918F5">
      <w:pPr>
        <w:pStyle w:val="Akapitzlist"/>
      </w:pPr>
    </w:p>
    <w:p w14:paraId="6BBAEB21" w14:textId="4BB8284A" w:rsidR="000918F5" w:rsidRPr="001035F4" w:rsidRDefault="000918F5" w:rsidP="000918F5">
      <w:pPr>
        <w:pStyle w:val="Akapitzlist"/>
        <w:numPr>
          <w:ilvl w:val="0"/>
          <w:numId w:val="1"/>
        </w:numPr>
      </w:pPr>
      <w:r w:rsidRPr="001035F4">
        <w:t>Radca prawny Krzysztof O. wykupił u operatora popularnego portalu internetowego usługę polegającą na tym, że podczas użytkowania portalu na ekranie pojawia się anons zawierający dane kancelarii Krzysztofa O. wraz ze zwięzłą zachętą do korzystania z jego usług prawniczych. Anons ma na tyle duży format, że zasłania stronę portalu uniemożliwiając odczytanie znajdujących się na niej informacji. Aby usunąć anons użytkownik musi kliknąć w umieszczony w prawym górnym rogu znak X. Zadanie to nie jest łatwe, ponieważ znak X jest niewielkich rozmiarów, a anons porusza się z góry na dół i z dołu do góry. Czy taka forma promowania kancelarii radcy prawnego jest dopuszczalna?</w:t>
      </w:r>
    </w:p>
    <w:p w14:paraId="19860BC8" w14:textId="033E8A1F" w:rsidR="000918F5" w:rsidRPr="001035F4" w:rsidRDefault="000918F5" w:rsidP="000918F5">
      <w:pPr>
        <w:pStyle w:val="Akapitzlist"/>
        <w:numPr>
          <w:ilvl w:val="0"/>
          <w:numId w:val="1"/>
        </w:numPr>
      </w:pPr>
      <w:r w:rsidRPr="001035F4">
        <w:t xml:space="preserve">W pewnej kancelarii wynagrodzenie za sporządzenie dokumentów uzależnione jest od złożoności zagadnienia, obszerności pisma oraz terminu wykonania zlecenia. Natomiast jeżeli </w:t>
      </w:r>
      <w:r w:rsidRPr="001035F4">
        <w:lastRenderedPageBreak/>
        <w:t>do napisania pisma procesowego konieczna jest analiza akt sprawy w sądzie, wówczas kancelaria ta pobiera dodatkową opłatę za tę czynność. Radca prawny K. L. i klient S. D. umówili się na takie wynagrodzenie, uwzględniając w nim konieczność analizy akt. Ostatecznie jednak okazało się, że przygotowane pismo w całości opierało się na kopiach dostarczonych przez klienta i nie uwzględniało żadnych innych dokumentów znajdujących się w aktach (choć teoretycznie mogło). S. D., uważając że żadna analiza akt w sądzie nie została przeprowadzona, zażądał zmniejszenia wynagrodzenia. K. L. się nie zgodził.</w:t>
      </w:r>
    </w:p>
    <w:p w14:paraId="114567A3" w14:textId="77777777" w:rsidR="001035F4" w:rsidRPr="001035F4" w:rsidRDefault="001035F4" w:rsidP="001035F4">
      <w:pPr>
        <w:pStyle w:val="Akapitzlist"/>
      </w:pPr>
    </w:p>
    <w:p w14:paraId="22F9E75B" w14:textId="2EA58E4F" w:rsidR="00D51AAA" w:rsidRPr="001035F4" w:rsidRDefault="00D51AAA" w:rsidP="00D51AAA">
      <w:pPr>
        <w:pStyle w:val="Akapitzlist"/>
        <w:numPr>
          <w:ilvl w:val="0"/>
          <w:numId w:val="1"/>
        </w:numPr>
      </w:pPr>
      <w:r w:rsidRPr="001035F4">
        <w:t>Radca prawny N. M. odebrał od kontrahenta swojego klienta Z. S. na rzecz tego klienta pewną kwotę pieniędzy, a następnie tego samego dnia wydał tę kwotę klientowi. Nie wystawił przy tym ani przy przyjęciu pieniędzy, ani przy ich wydaniu żadnego dokumentu. Problem pojawił się dopiero wtedy, gdy kontrahent Z. S. zaczął twierdzić, że kwota, którą przekazał N. M. była większa niż ta, którą od N. M. otrzymał Z. S. Wówczas N. M. powołał się na świadectwo osoby, która była obecna przy przekazaniu pieniędzy i która potwierdziła jego wersję. To uwolniło N. M. od podejrzenia przywłaszczenia sobie pieniędzy, ale nie uspokoiło kontrahenta, który wciąż mimo przeciwnych dowodów wyrażał wobec Z. S. przekonanie, że zapłacił więcej. Z. S. ma do radcy prawnego pretensje, że przez brak dokumentowania obrotu pieniędzmi doprowadził do sytuacji niepewnej i konfliktowej, która może nadwyrężyć jego stosunki z kontrahentem. N. M. broni się mówiąc, że umowa z klientem nie obejmowała czynności odbioru i przekazywania żadnych pieniędzy i dlatego nie był on na taką okoliczność przygotowany (i z tego powodu nie wystawił pokwitowań) oraz że w związku z tym nie można mu czynić zarzutu, bo wyświadczał klientowi i kontrahentowi tylko uprzejmość.</w:t>
      </w:r>
    </w:p>
    <w:p w14:paraId="20514476" w14:textId="77777777" w:rsidR="001035F4" w:rsidRPr="001035F4" w:rsidRDefault="001035F4" w:rsidP="001035F4">
      <w:pPr>
        <w:pStyle w:val="Akapitzlist"/>
      </w:pPr>
    </w:p>
    <w:p w14:paraId="43120DFE" w14:textId="3B862032" w:rsidR="00D51AAA" w:rsidRPr="001035F4" w:rsidRDefault="00D51AAA" w:rsidP="00D51AAA">
      <w:pPr>
        <w:pStyle w:val="Akapitzlist"/>
        <w:numPr>
          <w:ilvl w:val="0"/>
          <w:numId w:val="1"/>
        </w:numPr>
      </w:pPr>
      <w:r w:rsidRPr="001035F4">
        <w:t>Radca prawny M. K. zawarł umowę z Panią Z. S. przed jej długotrwałym wyjazdem za granicę. Zgodnie z umową miał ją reprezentować w kraju podczas jej nieobecności. Pani Z. przelała na rachunek M. K. dużą kwotę pieniężną i poleciła, aby przekazywał on w ściśle wyznaczonych terminach określone sumy jej dorosłemu synowi L. S. Już wyjeżdżając przyznała wobec radcy M. K., że przelana kwota pochodzi ze spadku po zmarłym ojcu L. S. i jej wysokość odpowiada temu, co ze spadku przypada L. S., ale że Z. S. nie chce, żeby syn roztrwonił majątek, wobec tego zamierza mu wypłacać należne pieniądze w ratach. Powiedziała również, że syn nie chce kłócić się z nią i na razie na ten stan się godzi. Po pewnym czasie L. S., który nagle potrzebował pieniędzy na leczenie ciężko chorego dziecka, zażądał od M. K. wypłacenia całości zdeponowanej kwoty. M. K. odmówił wypłaty i poradził L. S. załatwienie sprawy z matką albo na drodze prawnej. Z powodu trudności w skomunikowaniu się z nią Pani Z. S. nie mogła ona wypowiedzieć się co do zaistniałej sytuacji, na drogę prawną zabrakło czasu, a w międzyczasie dziecko L. S. zmarło. L. S. uważa, że radca prawny M. K. uchybił etyce zawodowej i przyczynił się co najmniej do tego, że jego dziecko nie miało w chorobie właściwej opieki.</w:t>
      </w:r>
    </w:p>
    <w:p w14:paraId="238DFED3" w14:textId="77777777" w:rsidR="001035F4" w:rsidRPr="001035F4" w:rsidRDefault="001035F4" w:rsidP="001035F4">
      <w:pPr>
        <w:pStyle w:val="Akapitzlist"/>
      </w:pPr>
    </w:p>
    <w:p w14:paraId="4B92C426" w14:textId="1975A445" w:rsidR="000918F5" w:rsidRPr="001035F4" w:rsidRDefault="00D51AAA" w:rsidP="000918F5">
      <w:pPr>
        <w:pStyle w:val="Akapitzlist"/>
        <w:numPr>
          <w:ilvl w:val="0"/>
          <w:numId w:val="1"/>
        </w:numPr>
      </w:pPr>
      <w:r w:rsidRPr="001035F4">
        <w:t>Radca prawny N. M. z Warszawy był pełnomocnikiem w postępowaniu w Krakowie. Wynagrodzenie pobierał według stawki godzinowej za czas pracy poświęcony na zajmowanie się sprawą klienta R. T. Stawka za godzinę nie odbiegała od stosowanych w Krakowie. Tego N. M. pilnował, ponieważ klient bardzo chciał widzieć warszawską kancelarię w krakowskim procesie, nie zamierzał jednak płacić więcej, niż gdyby angażował miejscowych prawników. Czas poświęcony na prowadzenie sprawy N. M. zaczynał liczyć od wyjścia z domu, a kończył z chwilą powrotu. W sumie wychodziło około dziesięciu godzin, z czego osiem godzin było wykorzystanych na podróż ekspresem Warszawa Kraków i z powrotem.</w:t>
      </w:r>
    </w:p>
    <w:p w14:paraId="12A75E13" w14:textId="77777777" w:rsidR="001035F4" w:rsidRPr="001035F4" w:rsidRDefault="001035F4" w:rsidP="001035F4">
      <w:pPr>
        <w:pStyle w:val="Akapitzlist"/>
      </w:pPr>
    </w:p>
    <w:p w14:paraId="512BA6B5" w14:textId="77777777" w:rsidR="001035F4" w:rsidRPr="001035F4" w:rsidRDefault="001035F4" w:rsidP="001035F4">
      <w:pPr>
        <w:pStyle w:val="Akapitzlist"/>
      </w:pPr>
    </w:p>
    <w:p w14:paraId="0C6C0417" w14:textId="5B967EDC" w:rsidR="00D51AAA" w:rsidRPr="001035F4" w:rsidRDefault="00D51AAA" w:rsidP="000918F5">
      <w:pPr>
        <w:pStyle w:val="Akapitzlist"/>
        <w:numPr>
          <w:ilvl w:val="0"/>
          <w:numId w:val="1"/>
        </w:numPr>
      </w:pPr>
      <w:r w:rsidRPr="001035F4">
        <w:t>Elżbieta W. pełni funkcję kierownika sekretariatu wydziału cywilnego Sądu Rejonowego w Z. Prywatnie Elżbieta W. jest konkubiną radcy prawnego Zygmunta J. prowadzącego w Z. praktykę prawniczą. Zygmunt J. często występuje przed Sądem Rejonowym w Z. jako pełnomocnik stron i uczestników postępowań cywilnych. W sekretariacie wydziału cywilnego, w miejscu dostępnym dla interesantów, Elżbieta W. wyłożyła ulotki zawierające informacje adresowe na temat kancelarii Zygmunta J. Adwokat Jan K. w czasie załatwiania spraw w sekretariacie Wydziału Cywilnego zauważył ulotki Zygmunta J. i zapytał Elżbietę W., czy może także przynieść ulotki informujące o działalności swojej kancelarii. Gdy Elżbieta W. powiedziała, że nie zgodzi się na to, Jan K. powiadomił rzecznika odpowiedzialności dyscyplinarnej ORA w Ł. o popełnieniu przewinienia dyscyplinarnego przez mec. Zygmunta J. Zygmunt J., przesłuchiwany przez rzecznika odpowiedzialności dyscyplinarnej stwierdził, że Elżbieta W. wyłożyła w Wydziale Cywilnym Sądy Rejonowego w Z. ulotki z własnej inicjatywy, ale za wiedzą i zgodą Zygmunta J. Czy rzecznik odpowiedzialności dyscyplinarnej powinien złożyć wniosek o ukaranie mec. Zygmunta J.?</w:t>
      </w:r>
    </w:p>
    <w:p w14:paraId="59D5F994" w14:textId="77777777" w:rsidR="000918F5" w:rsidRDefault="000918F5" w:rsidP="000918F5">
      <w:pPr>
        <w:pStyle w:val="Akapitzlist"/>
      </w:pPr>
    </w:p>
    <w:p w14:paraId="0B258B3C" w14:textId="77777777" w:rsidR="00F07127" w:rsidRDefault="00C6302F" w:rsidP="00C6302F">
      <w:pPr>
        <w:pStyle w:val="Akapitzlist"/>
      </w:pPr>
      <w:r>
        <w:t xml:space="preserve"> </w:t>
      </w:r>
    </w:p>
    <w:sectPr w:rsidR="00F07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54498"/>
    <w:multiLevelType w:val="hybridMultilevel"/>
    <w:tmpl w:val="DE0E5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2F"/>
    <w:rsid w:val="000918F5"/>
    <w:rsid w:val="001035F4"/>
    <w:rsid w:val="00230E97"/>
    <w:rsid w:val="00C6302F"/>
    <w:rsid w:val="00D51AAA"/>
    <w:rsid w:val="00F071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A73F"/>
  <w15:chartTrackingRefBased/>
  <w15:docId w15:val="{63E59251-BE2F-440E-9397-1CFFC0C9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1113</Words>
  <Characters>6683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Ostrowski</dc:creator>
  <cp:keywords/>
  <dc:description/>
  <cp:lastModifiedBy>Ryszard Ostrowski</cp:lastModifiedBy>
  <cp:revision>2</cp:revision>
  <dcterms:created xsi:type="dcterms:W3CDTF">2020-03-25T23:05:00Z</dcterms:created>
  <dcterms:modified xsi:type="dcterms:W3CDTF">2020-03-25T23:35:00Z</dcterms:modified>
</cp:coreProperties>
</file>