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A" w:rsidRPr="00B34E7F" w:rsidRDefault="00A574DA" w:rsidP="002476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bookmarkStart w:id="0" w:name="_Hlk491945902"/>
      <w:r w:rsidRPr="00B34E7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Zaproszenie </w:t>
      </w:r>
      <w:r w:rsidR="00D608D8" w:rsidRPr="00B34E7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do udziału w </w:t>
      </w:r>
      <w:r w:rsidR="00126518" w:rsidRPr="00B34E7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I</w:t>
      </w:r>
      <w:r w:rsidR="006A5920" w:rsidRPr="00B34E7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I sesji </w:t>
      </w:r>
      <w:r w:rsidR="00EC6D49" w:rsidRPr="00B34E7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online </w:t>
      </w:r>
      <w:r w:rsidR="006A5920" w:rsidRPr="00B34E7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programu</w:t>
      </w:r>
      <w:r w:rsidR="00EC6D49" w:rsidRPr="00B34E7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CRIMILAW nt. europejskiego</w:t>
      </w:r>
      <w:r w:rsidR="00D608D8" w:rsidRPr="00B34E7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prawa i postęp</w:t>
      </w:r>
      <w:r w:rsidR="00B34E7F" w:rsidRPr="00B34E7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owania karnego </w:t>
      </w:r>
    </w:p>
    <w:p w:rsidR="00B34E7F" w:rsidRPr="00B34E7F" w:rsidRDefault="00B34E7F" w:rsidP="002476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pl-PL"/>
        </w:rPr>
      </w:pPr>
      <w:r w:rsidRPr="00B34E7F">
        <w:rPr>
          <w:rFonts w:ascii="Times New Roman" w:hAnsi="Times New Roman"/>
          <w:color w:val="FF0000"/>
          <w:sz w:val="24"/>
          <w:szCs w:val="24"/>
        </w:rPr>
        <w:t xml:space="preserve">Uwaga: </w:t>
      </w:r>
      <w:r w:rsidR="002F0900">
        <w:rPr>
          <w:rFonts w:ascii="Times New Roman" w:hAnsi="Times New Roman"/>
          <w:color w:val="FF0000"/>
          <w:sz w:val="24"/>
          <w:szCs w:val="24"/>
        </w:rPr>
        <w:t xml:space="preserve">Szanowni Państwo, </w:t>
      </w:r>
      <w:r w:rsidRPr="00B34E7F">
        <w:rPr>
          <w:rFonts w:ascii="Times New Roman" w:hAnsi="Times New Roman"/>
          <w:color w:val="FF0000"/>
          <w:sz w:val="24"/>
          <w:szCs w:val="24"/>
        </w:rPr>
        <w:t>informujemy, że nabór do II sesji programu Crimilaw został przedłużony do czwartku 20.05.2021 r. godz. 24.00 albo do wyczerpania wolnych miejsc (7 miejsc). Obowiązuje kolejność wpływu zgłoszeń, serdecznie zapraszamy!</w:t>
      </w:r>
    </w:p>
    <w:p w:rsidR="0026596C" w:rsidRPr="00076E2A" w:rsidRDefault="0026596C" w:rsidP="002476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076E2A">
        <w:rPr>
          <w:rFonts w:ascii="Times New Roman" w:hAnsi="Times New Roman"/>
          <w:sz w:val="24"/>
          <w:szCs w:val="24"/>
        </w:rPr>
        <w:t xml:space="preserve">Link rejestracyjny:  </w:t>
      </w:r>
      <w:hyperlink r:id="rId8" w:history="1">
        <w:r w:rsidR="00A4180C" w:rsidRPr="00076E2A">
          <w:rPr>
            <w:rStyle w:val="Hipercze"/>
            <w:rFonts w:ascii="Times New Roman" w:hAnsi="Times New Roman"/>
          </w:rPr>
          <w:t>https://www.webankieta.pl/ankieta/629302/formularz-zgloszeniowy-ii-sesja-programu-crimilaw.html</w:t>
        </w:r>
      </w:hyperlink>
      <w:r w:rsidR="00A4180C" w:rsidRPr="00076E2A">
        <w:rPr>
          <w:rFonts w:ascii="Times New Roman" w:hAnsi="Times New Roman"/>
          <w:color w:val="000000"/>
        </w:rPr>
        <w:t xml:space="preserve"> </w:t>
      </w:r>
    </w:p>
    <w:p w:rsidR="00A574DA" w:rsidRPr="00076E2A" w:rsidRDefault="00A574DA" w:rsidP="0024765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76E2A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Zagraniczna KRRP </w:t>
      </w:r>
      <w:r w:rsidR="00D608D8" w:rsidRPr="00076E2A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 do udziału w </w:t>
      </w:r>
      <w:r w:rsidR="00126518" w:rsidRPr="00076E2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A5920" w:rsidRPr="00076E2A">
        <w:rPr>
          <w:rFonts w:ascii="Times New Roman" w:hAnsi="Times New Roman"/>
          <w:sz w:val="24"/>
          <w:szCs w:val="24"/>
        </w:rPr>
        <w:t>I sesji</w:t>
      </w:r>
      <w:r w:rsidR="00D608D8" w:rsidRPr="00076E2A">
        <w:rPr>
          <w:rFonts w:ascii="Times New Roman" w:hAnsi="Times New Roman"/>
          <w:sz w:val="24"/>
          <w:szCs w:val="24"/>
        </w:rPr>
        <w:t xml:space="preserve"> programu</w:t>
      </w:r>
      <w:r w:rsidR="006A5920" w:rsidRPr="00076E2A">
        <w:rPr>
          <w:rFonts w:ascii="Times New Roman" w:hAnsi="Times New Roman"/>
          <w:sz w:val="24"/>
          <w:szCs w:val="24"/>
        </w:rPr>
        <w:t xml:space="preserve"> </w:t>
      </w:r>
      <w:r w:rsidR="00D608D8" w:rsidRPr="00076E2A">
        <w:rPr>
          <w:rFonts w:ascii="Times New Roman" w:hAnsi="Times New Roman"/>
          <w:sz w:val="24"/>
          <w:szCs w:val="24"/>
        </w:rPr>
        <w:t>CRIMILAW</w:t>
      </w:r>
      <w:r w:rsidR="00D5419C" w:rsidRPr="00076E2A">
        <w:rPr>
          <w:rFonts w:ascii="Times New Roman" w:hAnsi="Times New Roman"/>
          <w:sz w:val="24"/>
          <w:szCs w:val="24"/>
        </w:rPr>
        <w:t>,</w:t>
      </w:r>
      <w:r w:rsidR="006A5920" w:rsidRPr="00076E2A">
        <w:rPr>
          <w:rFonts w:ascii="Times New Roman" w:hAnsi="Times New Roman"/>
          <w:sz w:val="24"/>
          <w:szCs w:val="24"/>
        </w:rPr>
        <w:t xml:space="preserve"> w Polsce kierowane</w:t>
      </w:r>
      <w:r w:rsidR="00E821A1" w:rsidRPr="00076E2A">
        <w:rPr>
          <w:rFonts w:ascii="Times New Roman" w:hAnsi="Times New Roman"/>
          <w:sz w:val="24"/>
          <w:szCs w:val="24"/>
        </w:rPr>
        <w:t>go do</w:t>
      </w:r>
      <w:r w:rsidR="00D5419C" w:rsidRPr="00076E2A">
        <w:rPr>
          <w:rFonts w:ascii="Times New Roman" w:hAnsi="Times New Roman"/>
          <w:sz w:val="24"/>
          <w:szCs w:val="24"/>
        </w:rPr>
        <w:t xml:space="preserve"> radców prawnych, którego tematyka obejmuje</w:t>
      </w:r>
      <w:r w:rsidR="006A5920" w:rsidRPr="00076E2A">
        <w:rPr>
          <w:rFonts w:ascii="Times New Roman" w:hAnsi="Times New Roman"/>
          <w:sz w:val="24"/>
          <w:szCs w:val="24"/>
        </w:rPr>
        <w:t xml:space="preserve"> europejskie</w:t>
      </w:r>
      <w:r w:rsidR="00D5419C" w:rsidRPr="00076E2A">
        <w:rPr>
          <w:rFonts w:ascii="Times New Roman" w:hAnsi="Times New Roman"/>
          <w:sz w:val="24"/>
          <w:szCs w:val="24"/>
        </w:rPr>
        <w:t xml:space="preserve"> prawo</w:t>
      </w:r>
      <w:r w:rsidR="00D608D8" w:rsidRPr="00076E2A">
        <w:rPr>
          <w:rFonts w:ascii="Times New Roman" w:hAnsi="Times New Roman"/>
          <w:sz w:val="24"/>
          <w:szCs w:val="24"/>
        </w:rPr>
        <w:t xml:space="preserve"> </w:t>
      </w:r>
      <w:r w:rsidR="00D5419C" w:rsidRPr="00076E2A">
        <w:rPr>
          <w:rFonts w:ascii="Times New Roman" w:hAnsi="Times New Roman"/>
          <w:sz w:val="24"/>
          <w:szCs w:val="24"/>
        </w:rPr>
        <w:br/>
        <w:t>i postępowanie karne</w:t>
      </w:r>
      <w:r w:rsidR="006A5920" w:rsidRPr="00076E2A">
        <w:rPr>
          <w:rFonts w:ascii="Times New Roman" w:hAnsi="Times New Roman"/>
          <w:sz w:val="24"/>
          <w:szCs w:val="24"/>
        </w:rPr>
        <w:t xml:space="preserve">. </w:t>
      </w:r>
      <w:r w:rsidR="00126518" w:rsidRPr="00076E2A">
        <w:rPr>
          <w:rFonts w:ascii="Times New Roman" w:hAnsi="Times New Roman"/>
          <w:b/>
          <w:sz w:val="24"/>
          <w:szCs w:val="24"/>
        </w:rPr>
        <w:t>Druga</w:t>
      </w:r>
      <w:r w:rsidR="006A5920" w:rsidRPr="00076E2A">
        <w:rPr>
          <w:rFonts w:ascii="Times New Roman" w:hAnsi="Times New Roman"/>
          <w:b/>
          <w:sz w:val="24"/>
          <w:szCs w:val="24"/>
        </w:rPr>
        <w:t xml:space="preserve"> sesja odbędzie się w formie dwóch modułów</w:t>
      </w:r>
      <w:r w:rsidR="00D608D8" w:rsidRPr="00076E2A">
        <w:rPr>
          <w:rFonts w:ascii="Times New Roman" w:hAnsi="Times New Roman"/>
          <w:b/>
          <w:sz w:val="24"/>
          <w:szCs w:val="24"/>
        </w:rPr>
        <w:t xml:space="preserve"> online </w:t>
      </w:r>
      <w:r w:rsidR="00D5419C" w:rsidRPr="00076E2A">
        <w:rPr>
          <w:rFonts w:ascii="Times New Roman" w:hAnsi="Times New Roman"/>
          <w:b/>
          <w:sz w:val="24"/>
          <w:szCs w:val="24"/>
        </w:rPr>
        <w:br/>
      </w:r>
      <w:r w:rsidR="00F70D10" w:rsidRPr="00076E2A">
        <w:rPr>
          <w:rFonts w:ascii="Times New Roman" w:hAnsi="Times New Roman"/>
          <w:b/>
          <w:sz w:val="24"/>
          <w:szCs w:val="24"/>
        </w:rPr>
        <w:t>w terminie 7</w:t>
      </w:r>
      <w:r w:rsidR="00D608D8" w:rsidRPr="00076E2A">
        <w:rPr>
          <w:rFonts w:ascii="Times New Roman" w:hAnsi="Times New Roman"/>
          <w:b/>
          <w:sz w:val="24"/>
          <w:szCs w:val="24"/>
        </w:rPr>
        <w:t>-</w:t>
      </w:r>
      <w:r w:rsidR="00F70D10" w:rsidRPr="00076E2A">
        <w:rPr>
          <w:rFonts w:ascii="Times New Roman" w:hAnsi="Times New Roman"/>
          <w:b/>
          <w:sz w:val="24"/>
          <w:szCs w:val="24"/>
        </w:rPr>
        <w:t>18.06</w:t>
      </w:r>
      <w:r w:rsidR="00CF2318" w:rsidRPr="00076E2A">
        <w:rPr>
          <w:rFonts w:ascii="Times New Roman" w:hAnsi="Times New Roman"/>
          <w:b/>
          <w:sz w:val="24"/>
          <w:szCs w:val="24"/>
        </w:rPr>
        <w:t>.2021 r.</w:t>
      </w:r>
    </w:p>
    <w:p w:rsidR="003A2D25" w:rsidRDefault="003A2D25" w:rsidP="003A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E7B01">
        <w:rPr>
          <w:rFonts w:ascii="Times New Roman" w:hAnsi="Times New Roman"/>
          <w:sz w:val="24"/>
          <w:szCs w:val="24"/>
        </w:rPr>
        <w:t xml:space="preserve">Szczegółowy program II sesji online zostanie dopiero opublikowany, będzie on jednak identyczny jak program I sesji programu, z którym można zapoznać się </w:t>
      </w:r>
      <w:r w:rsidR="00445368" w:rsidRPr="00BE7B01">
        <w:rPr>
          <w:rFonts w:ascii="Times New Roman" w:hAnsi="Times New Roman"/>
          <w:sz w:val="24"/>
          <w:szCs w:val="24"/>
        </w:rPr>
        <w:fldChar w:fldCharType="begin"/>
      </w:r>
      <w:r w:rsidRPr="00BE7B01">
        <w:rPr>
          <w:rFonts w:ascii="Times New Roman" w:hAnsi="Times New Roman"/>
          <w:sz w:val="24"/>
          <w:szCs w:val="24"/>
        </w:rPr>
        <w:instrText xml:space="preserve"> HYPERLINK "https://kirp.pl/wp-content/uploads/2021/02/crimilaw-online-event-programme.-kwiecien-2021.pdf" </w:instrText>
      </w:r>
      <w:r w:rsidR="00445368" w:rsidRPr="00BE7B01">
        <w:rPr>
          <w:rFonts w:ascii="Times New Roman" w:hAnsi="Times New Roman"/>
          <w:sz w:val="24"/>
          <w:szCs w:val="24"/>
        </w:rPr>
        <w:fldChar w:fldCharType="separate"/>
      </w:r>
      <w:r w:rsidRPr="00BE7B01">
        <w:rPr>
          <w:rStyle w:val="Hipercze"/>
          <w:rFonts w:ascii="Times New Roman" w:hAnsi="Times New Roman"/>
          <w:sz w:val="24"/>
          <w:szCs w:val="24"/>
        </w:rPr>
        <w:t>tutaj</w:t>
      </w:r>
      <w:r w:rsidR="00445368" w:rsidRPr="00BE7B01">
        <w:rPr>
          <w:rFonts w:ascii="Times New Roman" w:hAnsi="Times New Roman"/>
          <w:sz w:val="24"/>
          <w:szCs w:val="24"/>
        </w:rPr>
        <w:fldChar w:fldCharType="end"/>
      </w:r>
      <w:r w:rsidRPr="00BE7B01">
        <w:rPr>
          <w:rFonts w:ascii="Times New Roman" w:hAnsi="Times New Roman"/>
          <w:sz w:val="24"/>
          <w:szCs w:val="24"/>
        </w:rPr>
        <w:t xml:space="preserve">. </w:t>
      </w:r>
      <w:r w:rsidRPr="003A2D25">
        <w:rPr>
          <w:rFonts w:ascii="Times New Roman" w:hAnsi="Times New Roman"/>
          <w:b/>
          <w:sz w:val="24"/>
          <w:szCs w:val="24"/>
        </w:rPr>
        <w:t>Tym samym do udziału zapraszamy radców prawnych, którzy nie uczestniczyli w I sesji programu.</w:t>
      </w:r>
      <w:r w:rsidRPr="00BE7B01">
        <w:rPr>
          <w:rFonts w:ascii="Times New Roman" w:hAnsi="Times New Roman"/>
          <w:sz w:val="24"/>
          <w:szCs w:val="24"/>
        </w:rPr>
        <w:t xml:space="preserve"> </w:t>
      </w:r>
    </w:p>
    <w:p w:rsidR="003A2D25" w:rsidRPr="003A2D25" w:rsidRDefault="003A2D25" w:rsidP="003A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126E6F" w:rsidRPr="00BE7B01" w:rsidRDefault="006A5920" w:rsidP="003A2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E7B01">
        <w:rPr>
          <w:rFonts w:ascii="Times New Roman" w:eastAsia="Times New Roman" w:hAnsi="Times New Roman"/>
          <w:sz w:val="24"/>
          <w:szCs w:val="24"/>
          <w:lang w:eastAsia="pl-PL"/>
        </w:rPr>
        <w:t xml:space="preserve">Celem 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prog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ramu CRIMILAW jest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przeszkolenie w sumie 360 prawników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z kilku krajów UE z zakresu tematyki karnej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(w tym 60 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radców prawnych 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 Polski), przygotowanie materiałów szkoleniowych 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wieńczących cykl webinariów/seminariów</w:t>
      </w:r>
      <w:r w:rsidR="00D5419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CRIMILAW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a także umożliwienie międzynarodowego </w:t>
      </w:r>
      <w:proofErr w:type="spellStart"/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networkingu</w:t>
      </w:r>
      <w:proofErr w:type="spellEnd"/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</w:p>
    <w:p w:rsidR="00126E6F" w:rsidRPr="00BE7B01" w:rsidRDefault="00126E6F" w:rsidP="00247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D608D8" w:rsidRPr="00BE7B01" w:rsidRDefault="006A5920" w:rsidP="00247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  <w:r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Obecnie ze względu na sytuację epidemiologiczną w Europie program CRIMILAW realizowany będzie online poprzez platformę do e-learningu </w:t>
      </w:r>
      <w:proofErr w:type="spellStart"/>
      <w:r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Canvas</w:t>
      </w:r>
      <w:proofErr w:type="spellEnd"/>
      <w:r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. Jeżeli sytuacja ulegnie poprawie, wówczas planowane są seminaria stacjonarne w wybranych krajach partnerskich programu 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(Włochy, Hiszpania, Francja, Węgry, Cypr, Grecja, Polska).</w:t>
      </w:r>
      <w:r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 </w:t>
      </w:r>
    </w:p>
    <w:p w:rsidR="000D094C" w:rsidRPr="00BE7B01" w:rsidRDefault="000D094C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094C" w:rsidRPr="00BE7B01" w:rsidRDefault="00D608D8" w:rsidP="00B37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miejsc</w:t>
      </w:r>
      <w:r w:rsidR="006A5920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sesję online w terminie </w:t>
      </w:r>
      <w:r w:rsidR="00F70D10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7-18.06</w:t>
      </w:r>
      <w:r w:rsidR="006A5920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.2021 r. </w:t>
      </w:r>
      <w:r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ograniczona (15 miejsc</w:t>
      </w:r>
      <w:r w:rsidR="00004E94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26E6F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E821A1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</w:t>
      </w:r>
      <w:r w:rsidR="00004E94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radców </w:t>
      </w:r>
      <w:r w:rsidR="00A85151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prawnych </w:t>
      </w:r>
      <w:r w:rsidR="00004E94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Polski</w:t>
      </w:r>
      <w:r w:rsidR="00F70D10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). </w:t>
      </w:r>
      <w:r w:rsidR="00B34E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0D094C"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ejestracja możliwa jest </w:t>
      </w:r>
      <w:r w:rsidR="000D094C" w:rsidRPr="00A418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jedynie pod linkiem</w:t>
      </w:r>
      <w:r w:rsidRPr="00A418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377C6" w:rsidRPr="00BE7B01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A4180C" w:rsidRPr="006B72E5">
          <w:rPr>
            <w:rStyle w:val="Hipercze"/>
          </w:rPr>
          <w:t>https://www.webankieta.pl/ankieta/629302/formularz-zgloszeniowy-ii-sesja-programu-crimilaw.html</w:t>
        </w:r>
      </w:hyperlink>
      <w:r w:rsidR="00A4180C">
        <w:rPr>
          <w:color w:val="000000"/>
        </w:rPr>
        <w:t xml:space="preserve"> </w:t>
      </w:r>
    </w:p>
    <w:p w:rsidR="00266F14" w:rsidRPr="00BE7B01" w:rsidRDefault="00266F14" w:rsidP="00B37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6F14" w:rsidRPr="00BE7B01" w:rsidRDefault="00266F14" w:rsidP="00B377C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E7B01">
        <w:rPr>
          <w:rFonts w:ascii="Times New Roman" w:hAnsi="Times New Roman"/>
          <w:b/>
          <w:sz w:val="24"/>
          <w:szCs w:val="24"/>
        </w:rPr>
        <w:t>W programie weźmie 15 osób, k</w:t>
      </w:r>
      <w:r w:rsidR="007270B0">
        <w:rPr>
          <w:rFonts w:ascii="Times New Roman" w:hAnsi="Times New Roman"/>
          <w:b/>
          <w:sz w:val="24"/>
          <w:szCs w:val="24"/>
        </w:rPr>
        <w:t>tóre jako pierwsze prześlą swoje</w:t>
      </w:r>
      <w:r w:rsidRPr="00BE7B01">
        <w:rPr>
          <w:rFonts w:ascii="Times New Roman" w:hAnsi="Times New Roman"/>
          <w:b/>
          <w:sz w:val="24"/>
          <w:szCs w:val="24"/>
        </w:rPr>
        <w:t xml:space="preserve"> zgłoszenie. </w:t>
      </w:r>
    </w:p>
    <w:p w:rsidR="00126E6F" w:rsidRPr="00BE7B01" w:rsidRDefault="00126E6F" w:rsidP="00D608D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26E6F" w:rsidRPr="00BE7B01" w:rsidRDefault="00126E6F" w:rsidP="00126E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E7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Udział w programie jest odpłatny i wynosi 40 euro. </w:t>
      </w:r>
      <w:r w:rsidRPr="00BE7B01">
        <w:rPr>
          <w:rFonts w:ascii="Times New Roman" w:hAnsi="Times New Roman"/>
          <w:sz w:val="24"/>
          <w:szCs w:val="24"/>
        </w:rPr>
        <w:t xml:space="preserve">Pobrana opłata zostanie w całości przekazana na rachunek Europejskiej Fundacji Prawników ELF jako wkład własny </w:t>
      </w:r>
      <w:r w:rsidRPr="00BE7B01">
        <w:rPr>
          <w:rFonts w:ascii="Times New Roman" w:hAnsi="Times New Roman"/>
          <w:sz w:val="24"/>
          <w:szCs w:val="24"/>
        </w:rPr>
        <w:br/>
        <w:t>w program CRIMILAW, który jest dofinansowany ze środków Unii Europejskiej.</w:t>
      </w:r>
      <w:r w:rsidR="00B377C6" w:rsidRPr="00BE7B01">
        <w:rPr>
          <w:rFonts w:ascii="Times New Roman" w:hAnsi="Times New Roman"/>
          <w:sz w:val="24"/>
          <w:szCs w:val="24"/>
        </w:rPr>
        <w:t xml:space="preserve"> </w:t>
      </w:r>
    </w:p>
    <w:p w:rsidR="006A5920" w:rsidRPr="00BE7B01" w:rsidRDefault="006A5920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A574DA" w:rsidRPr="00BE7B01" w:rsidRDefault="00A574DA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  <w:r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Ważne informacje</w:t>
      </w:r>
      <w:r w:rsidR="006A5920"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 dotyczące </w:t>
      </w:r>
      <w:r w:rsidR="00F70D10"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I</w:t>
      </w:r>
      <w:r w:rsidR="006A5920"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I sesji</w:t>
      </w:r>
      <w:r w:rsidR="00D608D8"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 </w:t>
      </w:r>
      <w:r w:rsidR="00F33988"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online </w:t>
      </w:r>
      <w:r w:rsidR="002A6D89"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pr</w:t>
      </w:r>
      <w:r w:rsidR="00F70D10"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ogramu CRIMILAW w terminie 7-18.06</w:t>
      </w:r>
      <w:r w:rsidR="002A6D89" w:rsidRPr="00BE7B01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.2021 r. </w:t>
      </w:r>
    </w:p>
    <w:p w:rsidR="00A574DA" w:rsidRPr="00BE7B01" w:rsidRDefault="00A574DA" w:rsidP="00BE7B0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094C" w:rsidRPr="00BE7B01" w:rsidRDefault="00F70D10" w:rsidP="00BE7B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Druga</w:t>
      </w:r>
      <w:r w:rsidR="00B86006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sesja online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programu CRIMILAW realizowana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będzie poprzez </w:t>
      </w:r>
      <w:r w:rsidR="000D094C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platformę </w:t>
      </w:r>
      <w:r w:rsid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br/>
      </w:r>
      <w:proofErr w:type="spellStart"/>
      <w:r w:rsidR="00D608D8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e-learningowa</w:t>
      </w:r>
      <w:proofErr w:type="spellEnd"/>
      <w:r w:rsidR="00D608D8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  <w:proofErr w:type="spellStart"/>
      <w:r w:rsidR="000D094C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Canvas</w:t>
      </w:r>
      <w:proofErr w:type="spellEnd"/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. Wszyscy prelegenci i użytkownicy otrzym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ają odpowiednie dostępy wraz z instrukcją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użytkowania. </w:t>
      </w:r>
    </w:p>
    <w:p w:rsidR="000D094C" w:rsidRPr="00BE7B01" w:rsidRDefault="00F70D10" w:rsidP="00BE7B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Druga</w:t>
      </w:r>
      <w:r w:rsidR="00F3398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sesja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programu CRIMILAW </w:t>
      </w:r>
      <w:r w:rsidR="00F3398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przybierze formę siedmiu 60-minutowych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prelekcji </w:t>
      </w:r>
      <w:r w:rsidR="00F3398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online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realizowany</w:t>
      </w:r>
      <w:r w:rsidR="00F3398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ch na żywo, które następnie będą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udostępnione w wersji do odtworzenia</w:t>
      </w:r>
      <w:r w:rsidR="00F3398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dogodnym dla uczestnika czasie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  <w:r w:rsidR="00B86006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Prelekcje zostaną podzielone na </w:t>
      </w:r>
      <w:r w:rsidR="00B86006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lastRenderedPageBreak/>
        <w:t xml:space="preserve">dwa </w:t>
      </w:r>
      <w:r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moduły realizowane w terminie 7-11.06.2021 r. oraz 14</w:t>
      </w:r>
      <w:r w:rsidR="00C26EB2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-18.06</w:t>
      </w:r>
      <w:r w:rsidR="00B86006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.2021 r. </w:t>
      </w:r>
      <w:r w:rsidR="00F33988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tzn. </w:t>
      </w:r>
      <w:r w:rsidR="00126E6F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będą realizowane na przestrzeni</w:t>
      </w:r>
      <w:r w:rsidR="00F33988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dwóch tygodni.</w:t>
      </w:r>
      <w:r w:rsidR="00F3398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B86006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Szczegółowy program z</w:t>
      </w:r>
      <w:r w:rsidR="00BE7B01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ostanie dopiero opublikowany, </w:t>
      </w:r>
      <w:r w:rsidR="00BE7B01" w:rsidRPr="00B230E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problematyka będzie jednak identyczna jak podczas </w:t>
      </w:r>
      <w:r w:rsidR="00BE7B01" w:rsidRPr="00B230EC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 xml:space="preserve">I sesji online programu CRIMILAW, z którym można zapoznać się </w:t>
      </w:r>
      <w:hyperlink r:id="rId10" w:history="1">
        <w:r w:rsidR="00BE7B01" w:rsidRPr="00B230EC">
          <w:rPr>
            <w:rStyle w:val="Hipercze"/>
            <w:rFonts w:ascii="Times New Roman" w:eastAsia="Times New Roman" w:hAnsi="Times New Roman"/>
            <w:sz w:val="24"/>
            <w:szCs w:val="24"/>
            <w:lang w:val="pl-PL" w:eastAsia="pl-PL"/>
          </w:rPr>
          <w:t>tutaj</w:t>
        </w:r>
      </w:hyperlink>
      <w:r w:rsidR="00BE7B01" w:rsidRPr="00B230EC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0D094C" w:rsidRPr="00BE7B01" w:rsidRDefault="00F33988" w:rsidP="00BE7B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Uczestnicy sesji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przez dwa tygodnie (równol</w:t>
      </w:r>
      <w:r w:rsidR="00B86006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egle do prelekcji) będą mieć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dostęp </w:t>
      </w:r>
      <w:r w:rsidR="00BE7B01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do </w:t>
      </w:r>
      <w:r w:rsidR="000D094C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materiałów szkoleniowych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udostępnianych na platformie </w:t>
      </w:r>
      <w:proofErr w:type="spellStart"/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Canvas</w:t>
      </w:r>
      <w:proofErr w:type="spellEnd"/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Dodatkowo poprzez platformę uczestnicy będą mogli się kontaktować ze </w:t>
      </w:r>
      <w:r w:rsidR="00B86006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sobą oraz </w:t>
      </w:r>
      <w:r w:rsidR="00BE7B01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="00B86006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 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prelegentami w celu umożliwienia </w:t>
      </w:r>
      <w:proofErr w:type="spellStart"/>
      <w:r w:rsidR="00D608D8"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networkingu</w:t>
      </w:r>
      <w:proofErr w:type="spellEnd"/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Udział w webinarium nie będzie 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kończyć się testem sprawdzającym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</w:t>
      </w:r>
      <w:r w:rsidR="00D608D8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zostanie jedynie przeprowadzona ankieta.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Uczes</w:t>
      </w:r>
      <w:r w:rsidR="00E821A1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tnikami programu oprócz 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radców prawnych z Polski będą także adwokaci/prawnicy z Włoch, Hiszpanii, Francji, Węgier, Cypru, Grecji. Tym samym </w:t>
      </w:r>
      <w:r w:rsidRPr="00BE7B01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sesje online będą miały międzynarodowy charakter.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:rsidR="000D094C" w:rsidRPr="00BE7B01" w:rsidRDefault="00F33988" w:rsidP="00BE7B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Sesje realizowane będą</w:t>
      </w:r>
      <w:r w:rsidR="00B86006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języku angielskim. </w:t>
      </w:r>
    </w:p>
    <w:p w:rsidR="001556A5" w:rsidRPr="00BE7B01" w:rsidRDefault="00D608D8" w:rsidP="00BE7B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Koordynator programu – Europejska Fundacja Prawników 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ELF wystawi zaświadczenia </w:t>
      </w:r>
      <w:r w:rsidR="00B86006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dla uczestników 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 informacją, że </w:t>
      </w:r>
      <w:r w:rsidR="00B86006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dany 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uc</w:t>
      </w:r>
      <w:r w:rsidR="00B86006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zestnik wziął udział </w:t>
      </w:r>
      <w:r w:rsidR="00BE7B01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="00B86006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>w szkoleniu CRIMILAW</w:t>
      </w:r>
      <w:r w:rsidR="000D094C"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które trwało 7 godzin zegarowych (7 prelekcji </w:t>
      </w:r>
      <w:r w:rsidRPr="00BE7B0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x 60 minut). </w:t>
      </w:r>
      <w:bookmarkEnd w:id="0"/>
    </w:p>
    <w:p w:rsidR="00BE7B01" w:rsidRPr="00BE7B01" w:rsidRDefault="00BE7B01" w:rsidP="00DC1E29">
      <w:pPr>
        <w:pStyle w:val="NormalnyWeb"/>
        <w:jc w:val="center"/>
        <w:rPr>
          <w:rStyle w:val="Pogrubienie"/>
        </w:rPr>
      </w:pPr>
      <w:r w:rsidRPr="00BE7B01">
        <w:rPr>
          <w:rStyle w:val="Pogrubienie"/>
        </w:rPr>
        <w:t>Program CRIMILAW JEST DOFINANSOWANY ZE SRODKÓW PROGRAMU SPRAWIEDLIWOŚĆ UNII EUROPEJSKIEJ</w:t>
      </w:r>
    </w:p>
    <w:p w:rsidR="00BE7B01" w:rsidRPr="00BE7B01" w:rsidRDefault="00BE7B01" w:rsidP="00BE7B01">
      <w:pPr>
        <w:pStyle w:val="NormalnyWeb"/>
        <w:jc w:val="center"/>
        <w:rPr>
          <w:color w:val="595959" w:themeColor="text1" w:themeTint="A6"/>
        </w:rPr>
      </w:pPr>
      <w:r w:rsidRPr="00BE7B01">
        <w:rPr>
          <w:noProof/>
          <w:lang w:val="pl-PL" w:eastAsia="pl-PL"/>
        </w:rPr>
        <w:drawing>
          <wp:inline distT="0" distB="0" distL="0" distR="0">
            <wp:extent cx="1889760" cy="1135380"/>
            <wp:effectExtent l="19050" t="0" r="0" b="0"/>
            <wp:docPr id="1" name="Obraz 1" descr="https://kirp.pl/wp-content/uploads/2021/0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p.pl/wp-content/uploads/2021/02/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A5" w:rsidRPr="00BE7B01" w:rsidRDefault="001556A5" w:rsidP="00AD1C2F">
      <w:pPr>
        <w:pStyle w:val="NormalnyWeb"/>
        <w:rPr>
          <w:color w:val="595959" w:themeColor="text1" w:themeTint="A6"/>
        </w:rPr>
      </w:pPr>
    </w:p>
    <w:p w:rsidR="001556A5" w:rsidRPr="00BE7B01" w:rsidRDefault="001556A5" w:rsidP="00AD1C2F">
      <w:pPr>
        <w:pStyle w:val="NormalnyWeb"/>
        <w:rPr>
          <w:color w:val="595959" w:themeColor="text1" w:themeTint="A6"/>
        </w:rPr>
      </w:pPr>
      <w:r w:rsidRPr="00BE7B01">
        <w:rPr>
          <w:noProof/>
          <w:color w:val="595959" w:themeColor="text1" w:themeTint="A6"/>
          <w:lang w:val="pl-PL" w:eastAsia="pl-PL"/>
        </w:rPr>
        <w:drawing>
          <wp:inline distT="0" distB="0" distL="0" distR="0">
            <wp:extent cx="5349775" cy="3564000"/>
            <wp:effectExtent l="19050" t="0" r="3275" b="0"/>
            <wp:docPr id="10" name="Picture 10" descr="A picture containing table, indoor, sitting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obeStock_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775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6A5" w:rsidRPr="00BE7B01" w:rsidSect="003D4DF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E9" w:rsidRDefault="00DF2EE9">
      <w:pPr>
        <w:spacing w:after="0" w:line="240" w:lineRule="auto"/>
      </w:pPr>
      <w:r>
        <w:separator/>
      </w:r>
    </w:p>
  </w:endnote>
  <w:endnote w:type="continuationSeparator" w:id="0">
    <w:p w:rsidR="00DF2EE9" w:rsidRDefault="00DF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445368">
    <w:pPr>
      <w:pStyle w:val="Stopka"/>
    </w:pPr>
    <w:r w:rsidRPr="00445368">
      <w:rPr>
        <w:noProof/>
      </w:rPr>
      <w:pict>
        <v:group id="Group 3" o:spid="_x0000_s4097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7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SS6jeA2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BPQ+ocskUU&#10;XjcHLsxeCgHykWq1KAglUhWeR6x4H1FSdi28fB5YS2DuzRPM6u3zciNDRncJzBcMqmXbFKhF+6Cq&#10;w75VBIJm9CbBn5f5ybGuMfAabpsuo1u82vMHp88rUVhRG9a0zn5ez07EOBcQaa+ff2HObp4hjOU4&#10;pgGS/V6EsdMKZ6uFC7H2Co3iJD5X28ybcLfzr6jvQ5zdeuMUDk36/xJneV1bOtmvH6sA/6WGn1dP&#10;n+2p5Xvy+m8AAAD//wMAUEsDBBQABgAIAAAAIQCr9NJ34wAAABEBAAAPAAAAZHJzL2Rvd25yZXYu&#10;eG1sTE/LbsIwELxX6j9YW6m34pgKGkIchOjjhJAKlRA3Ey9JRGxHsUnC33dzai+7O/uYnUlXg6lZ&#10;h62vnJUgJhEwtLnTlS0k/Bw+X2JgPiirVe0sSrijh1X2+JCqRLvefmO3DwUjEusTJaEMoUk493mJ&#10;RvmJa9DS7OJaowLBtuC6VT2Rm5pPo2jOjaosfShVg5sS8+v+ZiR89apfv4qPbnu9bO6nw2x33AqU&#10;8vlpeF9SWC+BBRzC3wWMHkg/ZCTs7G5We1YTntHimBbxG7BxQcQLAexM1XxKPZ6l/L+T7BcAAP//&#10;AwBQSwECLQAUAAYACAAAACEAtoM4kv4AAADhAQAAEwAAAAAAAAAAAAAAAAAAAAAAW0NvbnRlbnRf&#10;VHlwZXNdLnhtbFBLAQItABQABgAIAAAAIQA4/SH/1gAAAJQBAAALAAAAAAAAAAAAAAAAAC8BAABf&#10;cmVscy8ucmVsc1BLAQItABQABgAIAAAAIQBFoLo7fwMAAJcKAAAOAAAAAAAAAAAAAAAAAC4CAABk&#10;cnMvZTJvRG9jLnhtbFBLAQItABQABgAIAAAAIQCr9NJ34wAAABEBAAAPAAAAAAAAAAAAAAAAANkF&#10;AABkcnMvZG93bnJldi54bWxQSwUGAAAAAAQABADzAAAA6QYAAAAAQUlBQUFBSVFDcjlOSjNKhNzX&#10;TFT8Rin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p0yAAAAN8AAAAPAAAAZHJzL2Rvd25yZXYueG1sRI9Pa8JA&#10;FMTvBb/D8oTe6sZSpI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DozRp0yAAAAN8A&#10;AAAPAAAAAAAAAAAAAAAAAAcCAABkcnMvZG93bnJldi54bWxQSwUGAAAAAAMAAwC3AAAA/AIAAAAA&#10;Z0FJQUFBQUl=&#10;" filled="f" stroked="f">
            <v:textbox inset="0,0,0,0">
              <w:txbxContent>
                <w:p w:rsidR="00C37CD4" w:rsidRDefault="00445368">
                  <w:pPr>
                    <w:jc w:val="center"/>
                  </w:pPr>
                  <w:r w:rsidRPr="00445368">
                    <w:fldChar w:fldCharType="begin"/>
                  </w:r>
                  <w:r w:rsidR="00222076">
                    <w:instrText>PAGE    \* MERGEFORMAT</w:instrText>
                  </w:r>
                  <w:r w:rsidRPr="00445368">
                    <w:fldChar w:fldCharType="separate"/>
                  </w:r>
                  <w:r w:rsidR="00B34E7F" w:rsidRPr="00B34E7F">
                    <w:rPr>
                      <w:noProof/>
                      <w:color w:val="8C8C8C"/>
                    </w:rPr>
                    <w:t>2</w:t>
                  </w:r>
                  <w:r w:rsidRPr="00C37CD4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409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DTxQAAAN8AAAAPAAAAZHJzL2Rvd25yZXYueG1sRI9Ba8JA&#10;FITvgv9heUJvZmNJpURXEaVFSi+mKh4f2WeymH0bsltN/31XELwMDMN8w8yXvW3ElTpvHCuYJCkI&#10;4tJpw5WC/c/H+B2ED8gaG8ek4I88LBfDwRxz7W68o2sRKhEh7HNUUIfQ5lL6siaLPnEtcczOrrMY&#10;ou0qqTu8Rbht5GuaTqVFw3GhxpbWNZWX4tcqOKxMRtnx9PWdlkRbLU+fhcmUehn1m1mU1QxEoD48&#10;Gw/EVit4g/uf+AXk4h8AAP//AwBQSwECLQAUAAYACAAAACEA2+H2y+4AAACFAQAAEwAAAAAAAAAA&#10;AAAAAAAAAAAAW0NvbnRlbnRfVHlwZXNdLnhtbFBLAQItABQABgAIAAAAIQBa9CxbvwAAABUBAAAL&#10;AAAAAAAAAAAAAAAAAB8BAABfcmVscy8ucmVsc1BLAQItABQABgAIAAAAIQCvNnDTxQAAAN8AAAAP&#10;AAAAAAAAAAAAAAAAAAcCAABkcnMvZG93bnJldi54bWxQSwUGAAAAAAMAAwC3AAAA+QIAAAAAQUlB&#10;QUFBSVF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dRyAAAAN8AAAAPAAAAZHJzL2Rvd25yZXYueG1sRI/NasMw&#10;EITvhbyD2EAvoZEbaAhOFGMSinvpofmBHLfWxjKxVsZSbLdPXxUKvQwMw3zDbLLRNqKnzteOFTzP&#10;ExDEpdM1VwpOx9enFQgfkDU2jknBF3nItpOHDabaDfxB/SFUIkLYp6jAhNCmUvrSkEU/dy1xzK6u&#10;sxii7SqpOxwi3DZykSRLabHmuGCwpZ2h8na4WwUzn8hz+XIxxax4//zWZz7ltlDqcTru11HyNYhA&#10;Y/hv/CHetIIl/P6JX0BufwAAAP//AwBQSwECLQAUAAYACAAAACEA2+H2y+4AAACFAQAAEwAAAAAA&#10;AAAAAAAAAAAAAAAAW0NvbnRlbnRfVHlwZXNdLnhtbFBLAQItABQABgAIAAAAIQBa9CxbvwAAABUB&#10;AAALAAAAAAAAAAAAAAAAAB8BAABfcmVscy8ucmVsc1BLAQItABQABgAIAAAAIQB9EKdRyAAAAN8A&#10;AAAPAAAAAAAAAAAAAAAAAAcCAABkcnMvZG93bnJldi54bWxQSwUGAAAAAAMAAwC3AAAA/AIAAAAA&#10;Z0FJQUFBQUl=&#10;" strokecolor="#a5a5a5"/>
            <v:shape id="AutoShape 28" o:spid="_x0000_s4099" type="#_x0000_t34" style="position:absolute;left:1252;top:14978;width:10995;height:230;rotation:180;visibility:visible" o:connectortype="elbow" adj="20904" strokecolor="#a5a5a5"/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F7" w:rsidRDefault="003D4DF7" w:rsidP="00104BB1">
    <w:pPr>
      <w:pStyle w:val="Stopka"/>
      <w:jc w:val="center"/>
    </w:pPr>
  </w:p>
  <w:p w:rsidR="00104BB1" w:rsidRDefault="00DF2EE9" w:rsidP="00104B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E9" w:rsidRDefault="00DF2EE9">
      <w:pPr>
        <w:spacing w:after="0" w:line="240" w:lineRule="auto"/>
      </w:pPr>
      <w:r>
        <w:separator/>
      </w:r>
    </w:p>
  </w:footnote>
  <w:footnote w:type="continuationSeparator" w:id="0">
    <w:p w:rsidR="00DF2EE9" w:rsidRDefault="00DF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DF2EE9" w:rsidP="00C37CD4">
    <w:pPr>
      <w:pStyle w:val="Nagwek"/>
      <w:jc w:val="center"/>
      <w:rPr>
        <w:noProof/>
      </w:rPr>
    </w:pPr>
  </w:p>
  <w:p w:rsidR="00FF3FC8" w:rsidRPr="00FF3FC8" w:rsidRDefault="00DF2EE9" w:rsidP="00C37CD4">
    <w:pPr>
      <w:pStyle w:val="Nagwek"/>
      <w:jc w:val="center"/>
      <w:rPr>
        <w:rFonts w:ascii="Times New Roman" w:hAnsi="Times New Roman"/>
        <w:noProof/>
        <w:sz w:val="16"/>
      </w:rPr>
    </w:pPr>
  </w:p>
  <w:p w:rsidR="00FF3FC8" w:rsidRPr="00FF3FC8" w:rsidRDefault="00DF2EE9" w:rsidP="00C37CD4">
    <w:pPr>
      <w:pStyle w:val="Nagwek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B1" w:rsidRDefault="00DF2EE9" w:rsidP="00104BB1">
    <w:pPr>
      <w:pStyle w:val="Nagwek"/>
      <w:jc w:val="center"/>
      <w:rPr>
        <w:noProof/>
      </w:rPr>
    </w:pPr>
  </w:p>
  <w:tbl>
    <w:tblPr>
      <w:tblStyle w:val="Tabela-Siatka"/>
      <w:tblW w:w="89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17"/>
      <w:gridCol w:w="1117"/>
      <w:gridCol w:w="1117"/>
      <w:gridCol w:w="1117"/>
      <w:gridCol w:w="1117"/>
      <w:gridCol w:w="1117"/>
      <w:gridCol w:w="1117"/>
      <w:gridCol w:w="1117"/>
    </w:tblGrid>
    <w:tr w:rsidR="006B1E93" w:rsidTr="006B1E93">
      <w:trPr>
        <w:trHeight w:val="496"/>
        <w:jc w:val="center"/>
      </w:trPr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noProof/>
              <w:color w:val="000080"/>
              <w:lang w:val="es-ES"/>
            </w:rPr>
          </w:pPr>
        </w:p>
      </w:tc>
    </w:tr>
  </w:tbl>
  <w:p w:rsidR="00104BB1" w:rsidRPr="00104BB1" w:rsidRDefault="00DF2EE9" w:rsidP="006A5920">
    <w:pPr>
      <w:pStyle w:val="Nagwek"/>
      <w:rPr>
        <w:rFonts w:ascii="Times New Roman" w:hAnsi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917"/>
    <w:multiLevelType w:val="hybridMultilevel"/>
    <w:tmpl w:val="7CCA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5F2C"/>
    <w:multiLevelType w:val="hybridMultilevel"/>
    <w:tmpl w:val="CA48C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539F"/>
    <w:rsid w:val="00004E94"/>
    <w:rsid w:val="00020999"/>
    <w:rsid w:val="00020D4E"/>
    <w:rsid w:val="0003539F"/>
    <w:rsid w:val="00056A72"/>
    <w:rsid w:val="000759A1"/>
    <w:rsid w:val="00076E2A"/>
    <w:rsid w:val="000D094C"/>
    <w:rsid w:val="000E6AF9"/>
    <w:rsid w:val="00103C60"/>
    <w:rsid w:val="00110235"/>
    <w:rsid w:val="00126518"/>
    <w:rsid w:val="00126E6F"/>
    <w:rsid w:val="00132E08"/>
    <w:rsid w:val="00144B10"/>
    <w:rsid w:val="00152436"/>
    <w:rsid w:val="001556A5"/>
    <w:rsid w:val="00164E11"/>
    <w:rsid w:val="00167FB9"/>
    <w:rsid w:val="00191843"/>
    <w:rsid w:val="002170A9"/>
    <w:rsid w:val="00222076"/>
    <w:rsid w:val="00241173"/>
    <w:rsid w:val="002438D4"/>
    <w:rsid w:val="0024765C"/>
    <w:rsid w:val="0026596C"/>
    <w:rsid w:val="00265BAE"/>
    <w:rsid w:val="00266F14"/>
    <w:rsid w:val="002A6D89"/>
    <w:rsid w:val="002E3023"/>
    <w:rsid w:val="002F0900"/>
    <w:rsid w:val="002F13E5"/>
    <w:rsid w:val="002F3A50"/>
    <w:rsid w:val="003017CC"/>
    <w:rsid w:val="00303A75"/>
    <w:rsid w:val="0035758E"/>
    <w:rsid w:val="00367E7B"/>
    <w:rsid w:val="003A2D25"/>
    <w:rsid w:val="003B7652"/>
    <w:rsid w:val="003D27E2"/>
    <w:rsid w:val="003D285A"/>
    <w:rsid w:val="003D4DF7"/>
    <w:rsid w:val="00410271"/>
    <w:rsid w:val="00415B5C"/>
    <w:rsid w:val="00423E8A"/>
    <w:rsid w:val="00424F41"/>
    <w:rsid w:val="00445368"/>
    <w:rsid w:val="004614C7"/>
    <w:rsid w:val="00471D0C"/>
    <w:rsid w:val="004C2124"/>
    <w:rsid w:val="004E21B7"/>
    <w:rsid w:val="004E5470"/>
    <w:rsid w:val="004F1F26"/>
    <w:rsid w:val="004F4013"/>
    <w:rsid w:val="00530256"/>
    <w:rsid w:val="00555FDC"/>
    <w:rsid w:val="005638EB"/>
    <w:rsid w:val="00565D69"/>
    <w:rsid w:val="0057179D"/>
    <w:rsid w:val="0059569C"/>
    <w:rsid w:val="005A09E2"/>
    <w:rsid w:val="005F5AB3"/>
    <w:rsid w:val="006020EF"/>
    <w:rsid w:val="00611CFF"/>
    <w:rsid w:val="0067585F"/>
    <w:rsid w:val="006A5920"/>
    <w:rsid w:val="006B1E93"/>
    <w:rsid w:val="006B3CE9"/>
    <w:rsid w:val="006C5ABC"/>
    <w:rsid w:val="006D7624"/>
    <w:rsid w:val="006E1241"/>
    <w:rsid w:val="007169CD"/>
    <w:rsid w:val="007270B0"/>
    <w:rsid w:val="00771298"/>
    <w:rsid w:val="007737FC"/>
    <w:rsid w:val="007E7560"/>
    <w:rsid w:val="007F00D1"/>
    <w:rsid w:val="007F1DAD"/>
    <w:rsid w:val="007F67AE"/>
    <w:rsid w:val="008100DB"/>
    <w:rsid w:val="0083352A"/>
    <w:rsid w:val="00867F22"/>
    <w:rsid w:val="00892022"/>
    <w:rsid w:val="00897D34"/>
    <w:rsid w:val="008B53B4"/>
    <w:rsid w:val="008C5CEA"/>
    <w:rsid w:val="008D1FA9"/>
    <w:rsid w:val="008D7EF6"/>
    <w:rsid w:val="008E12BE"/>
    <w:rsid w:val="00942435"/>
    <w:rsid w:val="009A28BA"/>
    <w:rsid w:val="009E1944"/>
    <w:rsid w:val="00A209A3"/>
    <w:rsid w:val="00A4180C"/>
    <w:rsid w:val="00A5081E"/>
    <w:rsid w:val="00A574DA"/>
    <w:rsid w:val="00A57FC8"/>
    <w:rsid w:val="00A85151"/>
    <w:rsid w:val="00AC3BA3"/>
    <w:rsid w:val="00AD1C2F"/>
    <w:rsid w:val="00AD2AE3"/>
    <w:rsid w:val="00B00FD8"/>
    <w:rsid w:val="00B157C4"/>
    <w:rsid w:val="00B230EC"/>
    <w:rsid w:val="00B34E7F"/>
    <w:rsid w:val="00B377C6"/>
    <w:rsid w:val="00B44920"/>
    <w:rsid w:val="00B65564"/>
    <w:rsid w:val="00B86006"/>
    <w:rsid w:val="00B97065"/>
    <w:rsid w:val="00BA1590"/>
    <w:rsid w:val="00BA444E"/>
    <w:rsid w:val="00BE7B01"/>
    <w:rsid w:val="00C04321"/>
    <w:rsid w:val="00C2035C"/>
    <w:rsid w:val="00C26EB2"/>
    <w:rsid w:val="00C32130"/>
    <w:rsid w:val="00C727AC"/>
    <w:rsid w:val="00CC4D4F"/>
    <w:rsid w:val="00CD5A6F"/>
    <w:rsid w:val="00CF2318"/>
    <w:rsid w:val="00D27388"/>
    <w:rsid w:val="00D36F2E"/>
    <w:rsid w:val="00D4198E"/>
    <w:rsid w:val="00D4424C"/>
    <w:rsid w:val="00D5419C"/>
    <w:rsid w:val="00D608D8"/>
    <w:rsid w:val="00D65ECF"/>
    <w:rsid w:val="00D70C2B"/>
    <w:rsid w:val="00D913FB"/>
    <w:rsid w:val="00D974BC"/>
    <w:rsid w:val="00DB1FEA"/>
    <w:rsid w:val="00DC1E29"/>
    <w:rsid w:val="00DE3FFF"/>
    <w:rsid w:val="00DF2EE9"/>
    <w:rsid w:val="00E02EBC"/>
    <w:rsid w:val="00E14D08"/>
    <w:rsid w:val="00E211CE"/>
    <w:rsid w:val="00E36460"/>
    <w:rsid w:val="00E614D5"/>
    <w:rsid w:val="00E821A1"/>
    <w:rsid w:val="00E868DA"/>
    <w:rsid w:val="00E95085"/>
    <w:rsid w:val="00EB19A4"/>
    <w:rsid w:val="00EC63DE"/>
    <w:rsid w:val="00EC6D49"/>
    <w:rsid w:val="00EF6477"/>
    <w:rsid w:val="00F33988"/>
    <w:rsid w:val="00F70D10"/>
    <w:rsid w:val="00F8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6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3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3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367E7B"/>
    <w:rPr>
      <w:color w:val="0563C1" w:themeColor="hyperlink"/>
      <w:u w:val="single"/>
    </w:rPr>
  </w:style>
  <w:style w:type="table" w:styleId="Tabela-Siatka">
    <w:name w:val="Table Grid"/>
    <w:basedOn w:val="Standardowy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D1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AD1C2F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D1C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1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36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6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36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36F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34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270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ankieta.pl/ankieta/629302/formularz-zgloszeniowy-ii-sesja-programu-crimilaw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irp.pl/wp-content/uploads/2021/02/crimilaw-online-event-programme.-kwiecien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ankieta.pl/ankieta/629302/formularz-zgloszeniowy-ii-sesja-programu-crimilaw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F39D-259C-483A-9695-37418157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Biuro</cp:lastModifiedBy>
  <cp:revision>3</cp:revision>
  <cp:lastPrinted>2019-08-13T09:18:00Z</cp:lastPrinted>
  <dcterms:created xsi:type="dcterms:W3CDTF">2021-05-14T07:07:00Z</dcterms:created>
  <dcterms:modified xsi:type="dcterms:W3CDTF">2021-05-14T07:07:00Z</dcterms:modified>
</cp:coreProperties>
</file>