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C8" w:rsidRDefault="00833023">
      <w:pPr>
        <w:pStyle w:val="Standard"/>
        <w:jc w:val="right"/>
        <w:rPr>
          <w:rFonts w:ascii="Times New Roman" w:hAnsi="Times New Roman"/>
        </w:rPr>
      </w:pPr>
      <w:r>
        <w:rPr>
          <w:rFonts w:ascii="Times New Roman" w:hAnsi="Times New Roman"/>
        </w:rPr>
        <w:t xml:space="preserve">Katowice, dnia </w:t>
      </w:r>
      <w:r w:rsidR="0048698D">
        <w:rPr>
          <w:rFonts w:ascii="Times New Roman" w:hAnsi="Times New Roman"/>
        </w:rPr>
        <w:t>05 stycznia</w:t>
      </w:r>
      <w:r w:rsidR="00A71E3A">
        <w:rPr>
          <w:rFonts w:ascii="Times New Roman" w:hAnsi="Times New Roman"/>
        </w:rPr>
        <w:t xml:space="preserve"> 2024</w:t>
      </w:r>
      <w:r>
        <w:rPr>
          <w:rFonts w:ascii="Times New Roman" w:hAnsi="Times New Roman"/>
        </w:rPr>
        <w:t xml:space="preserve"> r.</w:t>
      </w:r>
    </w:p>
    <w:p w:rsidR="00E528C8" w:rsidRDefault="00E528C8">
      <w:pPr>
        <w:pStyle w:val="Standard"/>
        <w:jc w:val="center"/>
        <w:rPr>
          <w:rFonts w:ascii="Times New Roman" w:hAnsi="Times New Roman"/>
          <w:b/>
          <w:bCs/>
        </w:rPr>
      </w:pPr>
    </w:p>
    <w:p w:rsidR="006906E9" w:rsidRDefault="00833023" w:rsidP="006906E9">
      <w:pPr>
        <w:pStyle w:val="Standard"/>
        <w:spacing w:line="480" w:lineRule="auto"/>
        <w:jc w:val="center"/>
        <w:rPr>
          <w:rFonts w:ascii="Times New Roman" w:hAnsi="Times New Roman"/>
          <w:b/>
          <w:bCs/>
        </w:rPr>
      </w:pPr>
      <w:r>
        <w:rPr>
          <w:rFonts w:ascii="Times New Roman" w:hAnsi="Times New Roman"/>
          <w:b/>
          <w:bCs/>
        </w:rPr>
        <w:t xml:space="preserve">K O N S P E </w:t>
      </w:r>
      <w:r w:rsidR="0048698D">
        <w:rPr>
          <w:rFonts w:ascii="Times New Roman" w:hAnsi="Times New Roman"/>
          <w:b/>
          <w:bCs/>
        </w:rPr>
        <w:t>K T</w:t>
      </w:r>
      <w:r w:rsidR="0048698D">
        <w:rPr>
          <w:rFonts w:ascii="Times New Roman" w:hAnsi="Times New Roman"/>
          <w:b/>
          <w:bCs/>
        </w:rPr>
        <w:br/>
        <w:t xml:space="preserve">do ćwiczeń dla aplikantów </w:t>
      </w:r>
      <w:r>
        <w:rPr>
          <w:rFonts w:ascii="Times New Roman" w:hAnsi="Times New Roman"/>
          <w:b/>
          <w:bCs/>
        </w:rPr>
        <w:t xml:space="preserve">I </w:t>
      </w:r>
      <w:proofErr w:type="spellStart"/>
      <w:r w:rsidR="006906E9">
        <w:rPr>
          <w:rFonts w:ascii="Times New Roman" w:hAnsi="Times New Roman"/>
          <w:b/>
          <w:bCs/>
        </w:rPr>
        <w:t>i</w:t>
      </w:r>
      <w:proofErr w:type="spellEnd"/>
      <w:r w:rsidR="006906E9">
        <w:rPr>
          <w:rFonts w:ascii="Times New Roman" w:hAnsi="Times New Roman"/>
          <w:b/>
          <w:bCs/>
        </w:rPr>
        <w:t xml:space="preserve"> III </w:t>
      </w:r>
      <w:r>
        <w:rPr>
          <w:rFonts w:ascii="Times New Roman" w:hAnsi="Times New Roman"/>
          <w:b/>
          <w:bCs/>
        </w:rPr>
        <w:t>roku</w:t>
      </w:r>
      <w:r>
        <w:rPr>
          <w:rFonts w:ascii="Times New Roman" w:hAnsi="Times New Roman"/>
          <w:b/>
          <w:bCs/>
        </w:rPr>
        <w:br/>
        <w:t>_____________________________________</w:t>
      </w:r>
      <w:r w:rsidR="006906E9">
        <w:rPr>
          <w:rFonts w:ascii="Times New Roman" w:hAnsi="Times New Roman"/>
          <w:b/>
          <w:bCs/>
        </w:rPr>
        <w:t>_________________</w:t>
      </w:r>
    </w:p>
    <w:p w:rsidR="000E22A8" w:rsidRDefault="000E22A8" w:rsidP="000E22A8">
      <w:pPr>
        <w:pStyle w:val="Standard"/>
        <w:spacing w:line="480" w:lineRule="auto"/>
        <w:ind w:left="708" w:firstLine="708"/>
        <w:jc w:val="center"/>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p w:rsidR="00E528C8" w:rsidRDefault="00833023" w:rsidP="0048698D">
      <w:pPr>
        <w:pStyle w:val="Standard"/>
        <w:spacing w:line="480" w:lineRule="auto"/>
        <w:jc w:val="center"/>
        <w:rPr>
          <w:rFonts w:ascii="Times New Roman" w:hAnsi="Times New Roman"/>
          <w:b/>
          <w:bCs/>
        </w:rPr>
      </w:pPr>
      <w:r>
        <w:rPr>
          <w:rFonts w:ascii="Times New Roman" w:hAnsi="Times New Roman"/>
          <w:b/>
          <w:bCs/>
        </w:rPr>
        <w:br/>
        <w:t>____________________________________________________________</w:t>
      </w:r>
      <w:r>
        <w:rPr>
          <w:rFonts w:ascii="Times New Roman" w:hAnsi="Times New Roman"/>
          <w:b/>
          <w:bCs/>
        </w:rPr>
        <w:br/>
        <w:t>Tematyka: Wynagrodzenie radcy prawnego</w:t>
      </w:r>
      <w:r>
        <w:rPr>
          <w:rFonts w:ascii="Times New Roman" w:hAnsi="Times New Roman"/>
          <w:b/>
          <w:bCs/>
        </w:rPr>
        <w:br/>
        <w:t>____________________________________________________________</w:t>
      </w:r>
    </w:p>
    <w:p w:rsidR="00E528C8" w:rsidRDefault="00E528C8">
      <w:pPr>
        <w:pStyle w:val="Standard"/>
        <w:jc w:val="center"/>
        <w:rPr>
          <w:rFonts w:ascii="Times New Roman" w:hAnsi="Times New Roman"/>
        </w:rPr>
      </w:pPr>
    </w:p>
    <w:p w:rsidR="00E528C8" w:rsidRDefault="00833023">
      <w:pPr>
        <w:pStyle w:val="Standard"/>
        <w:rPr>
          <w:rFonts w:ascii="Times New Roman" w:hAnsi="Times New Roman"/>
        </w:rPr>
      </w:pPr>
      <w:r>
        <w:rPr>
          <w:rFonts w:ascii="Times New Roman" w:hAnsi="Times New Roman"/>
        </w:rPr>
        <w:t>Na mocy uchwały nr 1/2022 Nadzwyczajnego Krajowego Zjazdu Radców Prawnych z dnia 8 lipca 2022 r., zmieniono treść niektórych przepisów zawartych w Kodeksie Etyki Radcy Prawnego (KERP). Zmiany te weszły w życie z dniem 1 stycznia 2023 r.</w:t>
      </w:r>
    </w:p>
    <w:p w:rsidR="00E528C8" w:rsidRDefault="00833023">
      <w:pPr>
        <w:pStyle w:val="Standard"/>
        <w:jc w:val="both"/>
        <w:rPr>
          <w:rFonts w:ascii="Times New Roman" w:hAnsi="Times New Roman"/>
        </w:rPr>
      </w:pPr>
      <w:r>
        <w:rPr>
          <w:rFonts w:ascii="Times New Roman" w:hAnsi="Times New Roman"/>
        </w:rPr>
        <w:t>Przedmiotem ćwiczeń będzie omówienie zmian przepisów KERP, dotyczących między innymi art. 36 oraz art. 37.</w:t>
      </w:r>
    </w:p>
    <w:tbl>
      <w:tblPr>
        <w:tblW w:w="9714" w:type="dxa"/>
        <w:tblInd w:w="-108" w:type="dxa"/>
        <w:tblLayout w:type="fixed"/>
        <w:tblCellMar>
          <w:left w:w="10" w:type="dxa"/>
          <w:right w:w="10" w:type="dxa"/>
        </w:tblCellMar>
        <w:tblLook w:val="0000"/>
      </w:tblPr>
      <w:tblGrid>
        <w:gridCol w:w="9714"/>
      </w:tblGrid>
      <w:tr w:rsidR="00676F44" w:rsidTr="00676F44">
        <w:tc>
          <w:tcPr>
            <w:tcW w:w="9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44" w:rsidRDefault="00676F44">
            <w:pPr>
              <w:pStyle w:val="Standard"/>
              <w:spacing w:after="0" w:line="240" w:lineRule="auto"/>
              <w:jc w:val="both"/>
              <w:rPr>
                <w:rFonts w:ascii="Times New Roman" w:hAnsi="Times New Roman"/>
              </w:rPr>
            </w:pPr>
            <w:r>
              <w:rPr>
                <w:rFonts w:ascii="Times New Roman" w:hAnsi="Times New Roman"/>
              </w:rPr>
              <w:t>Po 1 stycznia 2023 r.</w:t>
            </w:r>
          </w:p>
        </w:tc>
      </w:tr>
      <w:tr w:rsidR="00676F44" w:rsidTr="00676F44">
        <w:tc>
          <w:tcPr>
            <w:tcW w:w="9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44" w:rsidRDefault="00676F44">
            <w:pPr>
              <w:pStyle w:val="Standard"/>
              <w:spacing w:after="0" w:line="240" w:lineRule="auto"/>
              <w:jc w:val="both"/>
              <w:rPr>
                <w:rFonts w:ascii="Times New Roman" w:hAnsi="Times New Roman"/>
              </w:rPr>
            </w:pPr>
            <w:r>
              <w:rPr>
                <w:rFonts w:ascii="Times New Roman" w:hAnsi="Times New Roman"/>
              </w:rPr>
              <w:t>Art. 36.</w:t>
            </w:r>
          </w:p>
          <w:p w:rsidR="00676F44" w:rsidRDefault="00676F44">
            <w:pPr>
              <w:pStyle w:val="Standard"/>
              <w:spacing w:after="0" w:line="240" w:lineRule="auto"/>
              <w:jc w:val="both"/>
              <w:rPr>
                <w:rFonts w:ascii="Times New Roman" w:hAnsi="Times New Roman"/>
              </w:rPr>
            </w:pPr>
            <w:r>
              <w:rPr>
                <w:rFonts w:ascii="Times New Roman" w:hAnsi="Times New Roman"/>
              </w:rPr>
              <w:t>1. Wysokość wynagrodzenia radcy prawnego lub sposób jego ustalenia powinny zostać</w:t>
            </w:r>
          </w:p>
          <w:p w:rsidR="00676F44" w:rsidRDefault="00676F44">
            <w:pPr>
              <w:pStyle w:val="Standard"/>
              <w:spacing w:after="0" w:line="240" w:lineRule="auto"/>
              <w:jc w:val="both"/>
              <w:rPr>
                <w:rFonts w:ascii="Times New Roman" w:hAnsi="Times New Roman"/>
              </w:rPr>
            </w:pPr>
            <w:r>
              <w:rPr>
                <w:rFonts w:ascii="Times New Roman" w:hAnsi="Times New Roman"/>
              </w:rPr>
              <w:t>uzgodnione z klientem przed przystąpieniem do świadczenia pomocy prawnej.</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2. Wysokość wynagrodzenia powinna być ustalana, w szczególności z uwzględnieniem</w:t>
            </w:r>
          </w:p>
          <w:p w:rsidR="00676F44" w:rsidRDefault="00676F44">
            <w:pPr>
              <w:pStyle w:val="Standard"/>
              <w:spacing w:after="0" w:line="240" w:lineRule="auto"/>
              <w:jc w:val="both"/>
              <w:rPr>
                <w:rFonts w:ascii="Times New Roman" w:hAnsi="Times New Roman"/>
              </w:rPr>
            </w:pPr>
            <w:r>
              <w:rPr>
                <w:rFonts w:ascii="Times New Roman" w:hAnsi="Times New Roman"/>
              </w:rPr>
              <w:t>koniecznego nakładu pracy, wymaganej specjalistycznej wiedzy, umiejętności i odpowiedniego doświadczenia, stopnia trudności i złożoności sprawy, jej precedensowego bądź nietypowego charakteru, miejsca i terminu świadczenia usługi lub innych szczególnych warunków wymaganych przez klienta, znaczenia sprawy dla klienta, odpowiedzialności wiążącej się z prowadzeniem sprawy, utraty lub ograniczenia możliwości pozyskania lub wykonywania czynności zawodowych na rzecz innych klientów oraz rodzaju więzi z klientem.</w:t>
            </w:r>
          </w:p>
          <w:p w:rsidR="00676F44" w:rsidRDefault="00676F44">
            <w:pPr>
              <w:pStyle w:val="Standard"/>
              <w:spacing w:after="0" w:line="240" w:lineRule="auto"/>
              <w:jc w:val="both"/>
              <w:rPr>
                <w:rFonts w:ascii="Times New Roman" w:hAnsi="Times New Roman"/>
              </w:rPr>
            </w:pPr>
            <w:r>
              <w:rPr>
                <w:rFonts w:ascii="Times New Roman" w:hAnsi="Times New Roman"/>
              </w:rPr>
              <w:t>3. Radca prawny nie może zawierać z klientem umowy, na mocy której klient zobowiązuje się zapłacić wynagrodzenie za prowadzenie sprawy wyłącznie w razie osiągnięcia pomyślnego jej wyniku, chyba że co innego stanowią przepisy prawa. Dopuszczalna jest natomiast umowa, która przewiduje dodatkowe wynagrodzenie za</w:t>
            </w:r>
          </w:p>
          <w:p w:rsidR="00676F44" w:rsidRDefault="00676F44">
            <w:pPr>
              <w:pStyle w:val="Standard"/>
              <w:spacing w:after="0" w:line="240" w:lineRule="auto"/>
              <w:jc w:val="both"/>
              <w:rPr>
                <w:rFonts w:ascii="Times New Roman" w:hAnsi="Times New Roman"/>
              </w:rPr>
            </w:pPr>
            <w:r>
              <w:rPr>
                <w:rFonts w:ascii="Times New Roman" w:hAnsi="Times New Roman"/>
              </w:rPr>
              <w:t>pomyślny wynik sprawy, zawarta przed ostatecznym rozstrzygnięciem sprawy.</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4. Wynagrodzenie radcy prawnego nie obejmuje opłat i wydatków. Radca prawny nie jest obowiązany do ponoszenia za klienta opłat i wydatków. Radca prawny nie ponosi odpowiedzialności za skutki prawne, jakie mogą powstać w następstwie ich nieuiszczenia.</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 xml:space="preserve">5. Radca prawny nie może wstrzymać wykonania czynności w prowadzonej sprawie z powodu </w:t>
            </w:r>
            <w:r>
              <w:rPr>
                <w:rFonts w:ascii="Times New Roman" w:hAnsi="Times New Roman"/>
              </w:rPr>
              <w:lastRenderedPageBreak/>
              <w:t>nieotrzymania ustalonego wynagrodzenia lub jego części. Jednak w przypadku, gdy klient go nie zapłaci – radca prawny może na tej podstawie wypowiedzieć umowę i pełnomocnictwo.</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6. Radca prawny nie może dzielić się wynagrodzeniem za świadczenie pomocy prawnej z osobą lub podmiotem, które nie uczestniczyły w jej świadczeniu. Zakaz ten nie</w:t>
            </w:r>
          </w:p>
          <w:p w:rsidR="00676F44" w:rsidRDefault="00676F44">
            <w:pPr>
              <w:pStyle w:val="Standard"/>
              <w:spacing w:after="0" w:line="240" w:lineRule="auto"/>
              <w:jc w:val="both"/>
              <w:rPr>
                <w:rFonts w:ascii="Times New Roman" w:hAnsi="Times New Roman"/>
              </w:rPr>
            </w:pPr>
            <w:r>
              <w:rPr>
                <w:rFonts w:ascii="Times New Roman" w:hAnsi="Times New Roman"/>
              </w:rPr>
              <w:t>dotyczy wynagrodzenia dzielonego w ramach wspólnego wykonywania zawodu, w tym podziału zysku w kancelarii, lub wspólnego świadczenia pomocy prawnej z innym radcą prawnym lub osobą, z którą radca prawny może na podstawie przepisów prawa wspólnie wykonywać zawód.</w:t>
            </w:r>
          </w:p>
        </w:tc>
      </w:tr>
      <w:tr w:rsidR="00676F44" w:rsidTr="00676F44">
        <w:trPr>
          <w:trHeight w:val="5164"/>
        </w:trPr>
        <w:tc>
          <w:tcPr>
            <w:tcW w:w="9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F44" w:rsidRDefault="00676F44">
            <w:pPr>
              <w:pStyle w:val="Standard"/>
              <w:spacing w:after="0" w:line="240" w:lineRule="auto"/>
              <w:jc w:val="both"/>
              <w:rPr>
                <w:rFonts w:ascii="Times New Roman" w:hAnsi="Times New Roman"/>
              </w:rPr>
            </w:pPr>
            <w:r>
              <w:rPr>
                <w:rFonts w:ascii="Times New Roman" w:hAnsi="Times New Roman"/>
              </w:rPr>
              <w:lastRenderedPageBreak/>
              <w:t>Art. 37.</w:t>
            </w:r>
          </w:p>
          <w:p w:rsidR="00676F44" w:rsidRDefault="00676F44">
            <w:pPr>
              <w:pStyle w:val="Standard"/>
              <w:spacing w:after="0" w:line="240" w:lineRule="auto"/>
              <w:jc w:val="both"/>
              <w:rPr>
                <w:rFonts w:ascii="Times New Roman" w:hAnsi="Times New Roman"/>
              </w:rPr>
            </w:pPr>
            <w:r>
              <w:rPr>
                <w:rFonts w:ascii="Times New Roman" w:hAnsi="Times New Roman"/>
              </w:rPr>
              <w:t>1. Pieniądze, papiery wartościowe i inne aktywa majątkowe klienta, znajdujące się w posiadaniu radcy prawnego, o ile ich zdeponowanie na rachunku jest możliwe, powinny być odpowiednio wyodrębnione i zdeponowane na rachunku odrębnym od innych rachunków radcy prawnego. Nie dotyczy to przekazanych radcy prawnemu środków na pokrycie opłat i wydatków związanych z prowadzoną sprawą.</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 xml:space="preserve">2. </w:t>
            </w:r>
            <w:r>
              <w:rPr>
                <w:rFonts w:ascii="Times New Roman" w:hAnsi="Times New Roman"/>
                <w:i/>
                <w:iCs/>
              </w:rPr>
              <w:t>uchylony</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rPr>
              <w:t xml:space="preserve">3. </w:t>
            </w:r>
            <w:r>
              <w:rPr>
                <w:rFonts w:ascii="Times New Roman" w:hAnsi="Times New Roman"/>
                <w:i/>
                <w:iCs/>
              </w:rPr>
              <w:t>uchylony</w:t>
            </w:r>
          </w:p>
          <w:p w:rsidR="00676F44" w:rsidRDefault="00676F44">
            <w:pPr>
              <w:pStyle w:val="Standard"/>
              <w:spacing w:after="0" w:line="240" w:lineRule="auto"/>
              <w:jc w:val="both"/>
              <w:rPr>
                <w:rFonts w:ascii="Times New Roman" w:hAnsi="Times New Roman"/>
                <w:i/>
                <w:iCs/>
              </w:rPr>
            </w:pPr>
          </w:p>
          <w:p w:rsidR="00676F44" w:rsidRDefault="00676F44">
            <w:pPr>
              <w:pStyle w:val="Standard"/>
              <w:spacing w:after="0" w:line="240" w:lineRule="auto"/>
              <w:jc w:val="both"/>
              <w:rPr>
                <w:rFonts w:ascii="Times New Roman" w:hAnsi="Times New Roman"/>
              </w:rPr>
            </w:pPr>
            <w:r>
              <w:rPr>
                <w:rFonts w:ascii="Times New Roman" w:hAnsi="Times New Roman"/>
              </w:rPr>
              <w:t>4. Radca prawny nie może przekazać środków z tytułu zapłaty wynagrodzenia z rachunku odrębnego na swój rachunek bez zgody klienta. Jeżeli jednak umowa o świadczenie pomocy prawnej zawarta została co najmniej w formie dokumentowej, a klient opóźnienia się z zapłatą wymagalnego wynagrodzenia radcy prawnego lub jego części, radca prawny ma prawo potrącić swoją wierzytelność z wierzytelnością klienta o wypłatę środków znajdujących się w dyspozycji radcy prawnego.</w:t>
            </w:r>
          </w:p>
          <w:p w:rsidR="00676F44" w:rsidRDefault="00676F44">
            <w:pPr>
              <w:pStyle w:val="Standard"/>
              <w:spacing w:after="0" w:line="240" w:lineRule="auto"/>
              <w:jc w:val="both"/>
              <w:rPr>
                <w:rFonts w:ascii="Times New Roman" w:hAnsi="Times New Roman"/>
              </w:rPr>
            </w:pPr>
          </w:p>
          <w:p w:rsidR="00676F44" w:rsidRDefault="00676F44">
            <w:pPr>
              <w:pStyle w:val="Standard"/>
              <w:spacing w:after="0" w:line="240" w:lineRule="auto"/>
              <w:jc w:val="both"/>
              <w:rPr>
                <w:rFonts w:ascii="Times New Roman" w:hAnsi="Times New Roman"/>
              </w:rPr>
            </w:pPr>
            <w:r>
              <w:rPr>
                <w:rFonts w:ascii="Times New Roman" w:hAnsi="Times New Roman"/>
                <w:i/>
                <w:iCs/>
              </w:rPr>
              <w:t>5</w:t>
            </w:r>
            <w:r>
              <w:rPr>
                <w:rFonts w:ascii="Times New Roman" w:hAnsi="Times New Roman"/>
              </w:rPr>
              <w:t xml:space="preserve">. </w:t>
            </w:r>
            <w:r>
              <w:rPr>
                <w:rFonts w:ascii="Times New Roman" w:hAnsi="Times New Roman"/>
                <w:i/>
                <w:iCs/>
              </w:rPr>
              <w:t>uchylony</w:t>
            </w:r>
          </w:p>
          <w:p w:rsidR="00676F44" w:rsidRDefault="00676F44">
            <w:pPr>
              <w:pStyle w:val="Standard"/>
              <w:spacing w:after="0" w:line="240" w:lineRule="auto"/>
              <w:jc w:val="both"/>
              <w:rPr>
                <w:rFonts w:ascii="Times New Roman" w:hAnsi="Times New Roman"/>
              </w:rPr>
            </w:pPr>
          </w:p>
        </w:tc>
      </w:tr>
    </w:tbl>
    <w:p w:rsidR="00E528C8" w:rsidRDefault="00E528C8">
      <w:pPr>
        <w:pStyle w:val="Standard"/>
        <w:jc w:val="both"/>
        <w:rPr>
          <w:rFonts w:ascii="Times New Roman" w:hAnsi="Times New Roman"/>
        </w:rPr>
      </w:pPr>
    </w:p>
    <w:p w:rsidR="00E528C8" w:rsidRDefault="00833023">
      <w:pPr>
        <w:pStyle w:val="Standard"/>
        <w:numPr>
          <w:ilvl w:val="0"/>
          <w:numId w:val="3"/>
        </w:numPr>
        <w:spacing w:after="96" w:line="240" w:lineRule="auto"/>
        <w:jc w:val="both"/>
      </w:pPr>
      <w:r>
        <w:rPr>
          <w:rFonts w:ascii="Times New Roman" w:hAnsi="Times New Roman"/>
          <w:bCs/>
          <w:iCs/>
        </w:rPr>
        <w:t>Proszę omówić umowę, którą radca prawny zawiera z klientem na obsługę procesu sądowego, jakie zapisy powinny się tam znaleźć?</w:t>
      </w:r>
    </w:p>
    <w:p w:rsidR="00E528C8" w:rsidRDefault="00E528C8">
      <w:pPr>
        <w:pStyle w:val="Standard"/>
        <w:spacing w:after="96" w:line="240" w:lineRule="auto"/>
        <w:jc w:val="both"/>
      </w:pPr>
    </w:p>
    <w:p w:rsidR="00E528C8" w:rsidRDefault="00833023">
      <w:pPr>
        <w:pStyle w:val="Standard"/>
        <w:numPr>
          <w:ilvl w:val="0"/>
          <w:numId w:val="3"/>
        </w:numPr>
        <w:spacing w:after="96" w:line="240" w:lineRule="auto"/>
        <w:jc w:val="both"/>
        <w:rPr>
          <w:rFonts w:ascii="Times New Roman" w:hAnsi="Times New Roman"/>
          <w:bCs/>
        </w:rPr>
      </w:pPr>
      <w:r>
        <w:rPr>
          <w:rFonts w:ascii="Times New Roman" w:hAnsi="Times New Roman"/>
          <w:bCs/>
        </w:rPr>
        <w:t>Czy radca prawny godząc się w umowie z klientem na podział kosztów zastępstwa prawnego w ten sposób, iż z odzyskanych od strony przeciwnej kosztów zastępstwa wypłaca klientowi 50% wynagrodzenia, nie narusza przepisów Kodeksu Etyki Radcy Prawnego?</w:t>
      </w:r>
    </w:p>
    <w:p w:rsidR="00E528C8" w:rsidRDefault="00E528C8">
      <w:pPr>
        <w:pStyle w:val="Standard"/>
        <w:spacing w:after="96" w:line="240" w:lineRule="auto"/>
        <w:jc w:val="both"/>
        <w:rPr>
          <w:rFonts w:ascii="Times New Roman" w:hAnsi="Times New Roman"/>
          <w:bCs/>
        </w:rPr>
      </w:pPr>
    </w:p>
    <w:p w:rsidR="00E528C8" w:rsidRDefault="00833023">
      <w:pPr>
        <w:pStyle w:val="Standard"/>
        <w:numPr>
          <w:ilvl w:val="0"/>
          <w:numId w:val="3"/>
        </w:numPr>
        <w:spacing w:after="96" w:line="240" w:lineRule="auto"/>
        <w:jc w:val="both"/>
        <w:rPr>
          <w:rFonts w:ascii="Times New Roman" w:hAnsi="Times New Roman"/>
          <w:bCs/>
        </w:rPr>
      </w:pPr>
      <w:r>
        <w:rPr>
          <w:rFonts w:ascii="Times New Roman" w:hAnsi="Times New Roman"/>
          <w:bCs/>
        </w:rPr>
        <w:t>Czy radca prawny na bezwzględny obowiązek zawarcia z klientem umowy o kosztach zastępstwa na piśmie?</w:t>
      </w:r>
    </w:p>
    <w:p w:rsidR="00E528C8" w:rsidRDefault="00E528C8">
      <w:pPr>
        <w:pStyle w:val="Standard"/>
        <w:spacing w:after="96" w:line="240" w:lineRule="auto"/>
        <w:jc w:val="both"/>
        <w:rPr>
          <w:rFonts w:ascii="Times New Roman" w:hAnsi="Times New Roman"/>
          <w:bCs/>
        </w:rPr>
      </w:pPr>
    </w:p>
    <w:p w:rsidR="00E528C8" w:rsidRDefault="00833023">
      <w:pPr>
        <w:pStyle w:val="Standard"/>
        <w:numPr>
          <w:ilvl w:val="0"/>
          <w:numId w:val="3"/>
        </w:numPr>
        <w:spacing w:after="96" w:line="240" w:lineRule="auto"/>
        <w:jc w:val="both"/>
        <w:rPr>
          <w:rFonts w:ascii="Times New Roman" w:hAnsi="Times New Roman"/>
        </w:rPr>
      </w:pPr>
      <w:r>
        <w:rPr>
          <w:rFonts w:ascii="Times New Roman" w:hAnsi="Times New Roman"/>
          <w:bCs/>
        </w:rPr>
        <w:t xml:space="preserve">Czy wynagrodzenie radcy prawnego może być określone jako </w:t>
      </w:r>
      <w:r>
        <w:rPr>
          <w:rFonts w:ascii="Times New Roman" w:hAnsi="Times New Roman"/>
          <w:bCs/>
          <w:i/>
          <w:iCs/>
        </w:rPr>
        <w:t xml:space="preserve">pro bono </w:t>
      </w:r>
      <w:r>
        <w:rPr>
          <w:rFonts w:ascii="Times New Roman" w:hAnsi="Times New Roman"/>
          <w:bCs/>
        </w:rPr>
        <w:t>przy założeniu, że w przypadku wygranej sprawy klient zapłaci radcy prawnemu wynagrodzenie w kwocie X złotych, tj. koszty, jakie zostaną mu zasądzone przez sąd od drugiej strony w przypadku pozytywnego zakończenia sprawy, natomiast w przypadku przegrania sprawy klient zapłaci radcy prawnemu wynagrodzenie w kwocie Y złotych?</w:t>
      </w:r>
    </w:p>
    <w:p w:rsidR="00E528C8" w:rsidRDefault="00833023">
      <w:pPr>
        <w:pStyle w:val="Standard"/>
        <w:spacing w:after="96" w:line="240" w:lineRule="auto"/>
        <w:jc w:val="both"/>
        <w:rPr>
          <w:rFonts w:ascii="Times New Roman" w:hAnsi="Times New Roman"/>
          <w:bCs/>
        </w:rPr>
      </w:pPr>
      <w:r>
        <w:rPr>
          <w:rFonts w:ascii="Times New Roman" w:hAnsi="Times New Roman"/>
          <w:bCs/>
        </w:rPr>
        <w:tab/>
        <w:t xml:space="preserve">Czy takie postanowienia będą dopuszczalne i nie naruszą przepisów Kodeksu Etyki Radcy </w:t>
      </w:r>
      <w:r>
        <w:rPr>
          <w:rFonts w:ascii="Times New Roman" w:hAnsi="Times New Roman"/>
          <w:bCs/>
        </w:rPr>
        <w:tab/>
        <w:t>Prawnego?</w:t>
      </w:r>
    </w:p>
    <w:p w:rsidR="00E528C8" w:rsidRDefault="00E528C8">
      <w:pPr>
        <w:pStyle w:val="Standard"/>
        <w:spacing w:after="96" w:line="240" w:lineRule="auto"/>
        <w:jc w:val="both"/>
        <w:rPr>
          <w:rFonts w:ascii="Times New Roman" w:hAnsi="Times New Roman"/>
          <w:bCs/>
        </w:rPr>
      </w:pPr>
    </w:p>
    <w:p w:rsidR="00E528C8" w:rsidRDefault="00C01134" w:rsidP="00C01134">
      <w:pPr>
        <w:pStyle w:val="Standard"/>
        <w:spacing w:after="96" w:line="240" w:lineRule="auto"/>
        <w:jc w:val="both"/>
        <w:rPr>
          <w:rFonts w:ascii="Times New Roman" w:hAnsi="Times New Roman"/>
        </w:rPr>
      </w:pPr>
      <w:r>
        <w:rPr>
          <w:rFonts w:ascii="Times New Roman" w:hAnsi="Times New Roman"/>
        </w:rPr>
        <w:t>5 .</w:t>
      </w:r>
      <w:r w:rsidR="00833023">
        <w:rPr>
          <w:rFonts w:ascii="Times New Roman" w:hAnsi="Times New Roman"/>
        </w:rPr>
        <w:t xml:space="preserve">Radca prawny przed sądem złożył wniosek o zasądzenie kosztów zastępstwa procesowego w wysokości stawka minimalna x 6. Czy radca prawny wprowadził sąd w błąd co do wysokości żądania kosztów zastępstwa procesowego, w sytuacji kiedy nie zawarł umowy z klientem i klient zapłacił mu </w:t>
      </w:r>
      <w:r w:rsidR="00833023">
        <w:rPr>
          <w:rFonts w:ascii="Times New Roman" w:hAnsi="Times New Roman"/>
        </w:rPr>
        <w:lastRenderedPageBreak/>
        <w:t>koszty zastępstwa w wysokości minimalnej stawki x 1? Czy radca prawny może domagać się przed sądem także podatku VAT?</w:t>
      </w:r>
    </w:p>
    <w:p w:rsidR="00E528C8" w:rsidRDefault="00E528C8">
      <w:pPr>
        <w:pStyle w:val="Standard"/>
        <w:spacing w:after="96" w:line="240" w:lineRule="auto"/>
        <w:jc w:val="both"/>
        <w:rPr>
          <w:rFonts w:ascii="Times New Roman" w:hAnsi="Times New Roman"/>
        </w:rPr>
      </w:pPr>
    </w:p>
    <w:p w:rsidR="00E528C8" w:rsidRDefault="00833023" w:rsidP="00C01134">
      <w:pPr>
        <w:pStyle w:val="Standard"/>
        <w:numPr>
          <w:ilvl w:val="0"/>
          <w:numId w:val="6"/>
        </w:numPr>
        <w:spacing w:after="96" w:line="240" w:lineRule="auto"/>
        <w:jc w:val="both"/>
        <w:rPr>
          <w:rFonts w:ascii="Times New Roman" w:hAnsi="Times New Roman"/>
        </w:rPr>
      </w:pPr>
      <w:r>
        <w:rPr>
          <w:rFonts w:ascii="Times New Roman" w:hAnsi="Times New Roman"/>
        </w:rPr>
        <w:t>Proszę omówić zasady deponowania środków klienta na rachunku bankowym radcy prawnego oraz zasady postępowania radcy prawnego ze środkami, które klient wpłacił na opłaty sądowe, skarbowe oraz inne wydatki.</w:t>
      </w:r>
    </w:p>
    <w:p w:rsidR="00E528C8" w:rsidRDefault="00E528C8">
      <w:pPr>
        <w:pStyle w:val="Standard"/>
        <w:spacing w:after="96" w:line="240" w:lineRule="auto"/>
        <w:jc w:val="both"/>
        <w:rPr>
          <w:rFonts w:ascii="Times New Roman" w:hAnsi="Times New Roman"/>
        </w:rPr>
      </w:pPr>
    </w:p>
    <w:p w:rsidR="00E528C8" w:rsidRDefault="00833023" w:rsidP="00C01134">
      <w:pPr>
        <w:pStyle w:val="Standard"/>
        <w:numPr>
          <w:ilvl w:val="0"/>
          <w:numId w:val="6"/>
        </w:numPr>
        <w:spacing w:after="96" w:line="240" w:lineRule="auto"/>
        <w:jc w:val="both"/>
        <w:rPr>
          <w:i/>
          <w:iCs/>
        </w:rPr>
      </w:pPr>
      <w:r>
        <w:rPr>
          <w:rFonts w:ascii="Times New Roman" w:hAnsi="Times New Roman"/>
          <w:i/>
          <w:iCs/>
        </w:rPr>
        <w:t>radca prawny Marcin Udany przyjął upoważnianie do obrony w sprawie p. Moniki Szybkiej. Ustalił i przyjął wynagrodzenie w postaci zaliczki w kwocie 2. 000 złotych oraz przelewem na konto 50.000 plus VAT tytułem honorarium za udział i obronę w całym postępowaniu przygotowawczym. Pani Monika Szybka została tymczasowo aresztowana na okres 3 miesięcy i wszystkich ustaleń w zakresie dotyczącym honorarium za obronę radca prawny Udany dokonywał z mężem pani Moniki – panem Sebastianem Szybkim. Radca prawny Udany wydał panu Szybkiemu pokwitowanie wpłaty 50.000 złotych plus VAT. W toku postępowania przygotowawczego radca prawny Udany uzgodnił z prokuratorem, prowadzącym sprawę uchylenia tymczasowego aresztowania wobec Pani Moniki Szybkiej za poręczeniem w kwocie 80.000 złotych. Radca prawny poprosił Pana Sebastiana Szybkiego o wpłatę na swój rachunek bankowy kwoty 100.000 złotych na poręczenie majątkowe za Panią Monikę Szybką. Po wpłynięciu tej kwoty radca prawny Udany złożył poręczenie majątkowe za Panią Monikę Szybką w kwocie 80.000 złotych i opuściła ona areszt śledczy. Pan Sebastian Szybki poprosił radcę prawnego Udanego o zwrot 20.000 złotych i wtedy radca prawny Udany poinformował go, że jest to dodatkowe wynagrodzenie „bonus za sukces” w postaci uchylenia tymczasowego aresztowania wobec Pani Moniki Szybkiej. Pan Sebastian Szybki zażądał zwrotu tej kwoty, wskazując na wcześniejsze ustalenia. Radca prawny Udany pieniędzy nie zwrócił.</w:t>
      </w:r>
    </w:p>
    <w:p w:rsidR="00E528C8" w:rsidRDefault="00833023">
      <w:pPr>
        <w:pStyle w:val="Standard"/>
        <w:numPr>
          <w:ilvl w:val="1"/>
          <w:numId w:val="1"/>
        </w:numPr>
        <w:spacing w:after="96" w:line="240" w:lineRule="auto"/>
        <w:jc w:val="both"/>
        <w:rPr>
          <w:i/>
          <w:iCs/>
        </w:rPr>
      </w:pPr>
      <w:r>
        <w:rPr>
          <w:rFonts w:ascii="Times New Roman" w:hAnsi="Times New Roman"/>
          <w:i/>
          <w:iCs/>
        </w:rPr>
        <w:t>Radca prawny Marcin Udany posiadał jeden rachunek bankowy w „ING Banku Śląskim” oddział w Katowicach, na który wpływały jego honoraria oraz środki klientów wpłacane przez nich z przeznaczeniem na uiszczenie opłat sądowych, w tym kwota przeznaczona na poręczenie majątkowe za Panią Szybką. Radca prawny Udany nie prowadził żadnej dokumentacji w zakresie dokonywanych wpłat i opłat sądowych, ponieważ było ich  niewiele (około 5 w miesiącu), ponieważ jego zdaniem wszystko świetnie pamiętał.</w:t>
      </w:r>
    </w:p>
    <w:p w:rsidR="00E528C8" w:rsidRDefault="00E528C8">
      <w:pPr>
        <w:pStyle w:val="Standard"/>
        <w:spacing w:after="96" w:line="240" w:lineRule="auto"/>
        <w:jc w:val="both"/>
        <w:rPr>
          <w:rFonts w:ascii="Times New Roman" w:hAnsi="Times New Roman"/>
          <w:bCs/>
          <w:iCs/>
        </w:rPr>
      </w:pPr>
    </w:p>
    <w:p w:rsidR="00E528C8" w:rsidRPr="009B172E" w:rsidRDefault="00833023" w:rsidP="009B172E">
      <w:pPr>
        <w:pStyle w:val="Standard"/>
        <w:spacing w:after="96" w:line="240" w:lineRule="auto"/>
        <w:jc w:val="both"/>
        <w:rPr>
          <w:rFonts w:ascii="Times New Roman" w:hAnsi="Times New Roman"/>
          <w:b/>
          <w:bCs/>
          <w:iCs/>
        </w:rPr>
      </w:pPr>
      <w:r>
        <w:rPr>
          <w:rFonts w:ascii="Times New Roman" w:hAnsi="Times New Roman"/>
          <w:b/>
          <w:bCs/>
          <w:iCs/>
        </w:rPr>
        <w:t>_______________________________________________________________________________</w:t>
      </w:r>
    </w:p>
    <w:p w:rsidR="00E528C8" w:rsidRDefault="00E528C8">
      <w:pPr>
        <w:pStyle w:val="Standard"/>
        <w:spacing w:after="96" w:line="240" w:lineRule="auto"/>
        <w:jc w:val="both"/>
        <w:rPr>
          <w:rFonts w:ascii="Times New Roman" w:hAnsi="Times New Roman"/>
          <w:iCs/>
        </w:rPr>
      </w:pPr>
    </w:p>
    <w:p w:rsidR="009B172E" w:rsidRDefault="009B172E" w:rsidP="009B172E">
      <w:pPr>
        <w:pStyle w:val="Standard"/>
        <w:spacing w:after="96" w:line="240" w:lineRule="auto"/>
        <w:jc w:val="both"/>
        <w:rPr>
          <w:rFonts w:ascii="Times New Roman" w:hAnsi="Times New Roman"/>
          <w:iCs/>
        </w:rPr>
      </w:pPr>
    </w:p>
    <w:p w:rsidR="00E528C8" w:rsidRDefault="00C01134" w:rsidP="009B172E">
      <w:pPr>
        <w:pStyle w:val="Standard"/>
        <w:spacing w:after="96" w:line="240" w:lineRule="auto"/>
        <w:jc w:val="both"/>
        <w:rPr>
          <w:rFonts w:ascii="Times New Roman" w:hAnsi="Times New Roman"/>
          <w:iCs/>
        </w:rPr>
      </w:pPr>
      <w:r>
        <w:rPr>
          <w:rFonts w:ascii="Times New Roman" w:hAnsi="Times New Roman"/>
          <w:iCs/>
        </w:rPr>
        <w:t>8.</w:t>
      </w:r>
      <w:r w:rsidR="009B172E">
        <w:rPr>
          <w:rFonts w:ascii="Times New Roman" w:hAnsi="Times New Roman"/>
          <w:iCs/>
        </w:rPr>
        <w:t>.</w:t>
      </w:r>
      <w:r w:rsidR="00833023">
        <w:rPr>
          <w:rFonts w:ascii="Times New Roman" w:hAnsi="Times New Roman"/>
          <w:iCs/>
        </w:rPr>
        <w:t>Radca prawny przyjął zlecenie klienta w przedmiocie napisania pozwu i jego reprezentowania w Sądzie. W.P.S. wynosiła 25.000,00 zł. Radca prawny zapewnił klienta, że sprawa w Sądzie będzie wygrana w 100%. Klient zapłacił gotówką honorarium radcy prawnemu i na tą okoliczność nie otrzymał ani paragonu, ani pokwitowania, ani faktury.</w:t>
      </w:r>
    </w:p>
    <w:p w:rsidR="00E528C8" w:rsidRDefault="00833023">
      <w:pPr>
        <w:pStyle w:val="Standard"/>
        <w:spacing w:after="96" w:line="240" w:lineRule="auto"/>
        <w:jc w:val="both"/>
        <w:rPr>
          <w:rFonts w:ascii="Times New Roman" w:hAnsi="Times New Roman"/>
          <w:iCs/>
        </w:rPr>
      </w:pPr>
      <w:r>
        <w:rPr>
          <w:rFonts w:ascii="Times New Roman" w:hAnsi="Times New Roman"/>
          <w:iCs/>
        </w:rPr>
        <w:t>Sąd rozpoznając sprawę oddalił powództwo i w uzasadnieniu stwierdził, że roszczenie zgłoszone w pozwie jest niewymagalne, toteż nie było żadnych szans na jego uwzględnienie. Klient złożył do Rzecznika Dyscyplinarnego skargę na radcę prawnego. Radca prawny nie przyznał się do popełnienia deliktu dyscyplinarnego, stwierdzając, że „klient inaczej przedstawił mu sprawę, a inaczej to wyszło na sali sądowej”.</w:t>
      </w:r>
    </w:p>
    <w:p w:rsidR="00E528C8" w:rsidRDefault="00833023">
      <w:pPr>
        <w:pStyle w:val="Standard"/>
        <w:spacing w:after="96" w:line="240" w:lineRule="auto"/>
        <w:jc w:val="both"/>
        <w:rPr>
          <w:rFonts w:ascii="Times New Roman" w:hAnsi="Times New Roman"/>
          <w:iCs/>
        </w:rPr>
      </w:pPr>
      <w:r>
        <w:rPr>
          <w:rFonts w:ascii="Times New Roman" w:hAnsi="Times New Roman"/>
          <w:iCs/>
        </w:rPr>
        <w:t>Okazało się, że pozew został sporządzony na jeden kartce papieru w sposób nader lakoniczny, bez uzasadnienia prawnego.</w:t>
      </w:r>
    </w:p>
    <w:p w:rsidR="00E528C8" w:rsidRDefault="00E528C8">
      <w:pPr>
        <w:pStyle w:val="Standard"/>
        <w:spacing w:after="96" w:line="240" w:lineRule="auto"/>
        <w:jc w:val="both"/>
        <w:rPr>
          <w:rFonts w:ascii="Times New Roman" w:hAnsi="Times New Roman"/>
          <w:iCs/>
        </w:rPr>
      </w:pPr>
    </w:p>
    <w:p w:rsidR="00E528C8" w:rsidRDefault="00833023">
      <w:pPr>
        <w:pStyle w:val="Standard"/>
        <w:spacing w:after="96" w:line="240" w:lineRule="auto"/>
        <w:jc w:val="both"/>
        <w:rPr>
          <w:rFonts w:ascii="Times New Roman" w:hAnsi="Times New Roman"/>
          <w:iCs/>
        </w:rPr>
      </w:pPr>
      <w:r>
        <w:rPr>
          <w:rFonts w:ascii="Times New Roman" w:hAnsi="Times New Roman"/>
          <w:iCs/>
        </w:rPr>
        <w:t>Czy klient może domagać się od radcy prawnego zwrotu zapłaconego mu honorarium, a jeżeli tak, to na jakiej drodze?</w:t>
      </w:r>
    </w:p>
    <w:p w:rsidR="00E528C8" w:rsidRDefault="00E528C8">
      <w:pPr>
        <w:pStyle w:val="Standard"/>
        <w:spacing w:after="96" w:line="240" w:lineRule="auto"/>
        <w:jc w:val="both"/>
        <w:rPr>
          <w:rFonts w:ascii="Times New Roman" w:hAnsi="Times New Roman"/>
          <w:bCs/>
          <w:iCs/>
        </w:rPr>
      </w:pPr>
    </w:p>
    <w:p w:rsidR="00E528C8" w:rsidRDefault="00C01134" w:rsidP="009B172E">
      <w:pPr>
        <w:pStyle w:val="Standard"/>
        <w:spacing w:after="96" w:line="240" w:lineRule="auto"/>
        <w:jc w:val="both"/>
      </w:pPr>
      <w:r>
        <w:rPr>
          <w:rFonts w:ascii="Times New Roman" w:hAnsi="Times New Roman"/>
          <w:bCs/>
          <w:iCs/>
        </w:rPr>
        <w:lastRenderedPageBreak/>
        <w:t>9.</w:t>
      </w:r>
      <w:r w:rsidR="009B172E">
        <w:rPr>
          <w:rFonts w:ascii="Times New Roman" w:hAnsi="Times New Roman"/>
          <w:bCs/>
          <w:iCs/>
        </w:rPr>
        <w:t>.</w:t>
      </w:r>
      <w:r w:rsidR="00833023">
        <w:rPr>
          <w:rFonts w:ascii="Times New Roman" w:hAnsi="Times New Roman"/>
          <w:bCs/>
          <w:iCs/>
        </w:rPr>
        <w:t>Radca prawny sprawował obsługę spółki z o. o. przez około 5 lat. W umowie tej był przewidziany ryczałt miesięczny w wysokości 1.000,00 zł plus VAT oraz trzymiesięczny okres wypowiedzenia. Po upływie 5 lat, od momentu zawarcia umowy o obsługę prawną, radca prawny przyszedł do gabinetu pani prezes i poprosił ją o podwyżkę ryczałtu z kwoty 1.000,00 zł netto do 1.500,00 zł netto. Oświadczył, że ma już przygotowaną nową umowę i oprócz zmiany ryczałtu nie ma tam żadnych innych zmian w stosunku do poprzedniej umowy. Prezes i radca prawny znali się przez 5 lat sprawowania przez niego obsługi, rozmowa w przedmiocie podwyższenia ryczałtu odbyła się w przyjaznej atmosferze i prezes spółki oświadczyła radcy prawnemu, że ma do niego zaufanie i podpisała tą umowę bez jej czytania. Po roku czasu od podpisania drugiej umowy o obsługę prawną, zarząd sp. z o. o. doręczył r. pr. wypowiedzenie umowy z zachowaniem trzymiesięcznego okresu wypowiedzenia. Jakież było zdziwienie zarządu spółki, gdy po tym okresie zaczęły spływać do spółki dalsze comiesięczne faktury, wystawione na kwoty 1.500,00 zł plus VAT. Gdy prezes spółki przeczytał umowę, okazało się, że zamiast trzymiesięcznego okresu wypowiedzenia r. pr. zamieścił tam dwunastomiesięczny okres wypowiedzenia.</w:t>
      </w:r>
    </w:p>
    <w:p w:rsidR="00E528C8" w:rsidRDefault="00833023">
      <w:pPr>
        <w:pStyle w:val="Standard"/>
        <w:spacing w:after="96" w:line="240" w:lineRule="auto"/>
        <w:jc w:val="both"/>
      </w:pPr>
      <w:r>
        <w:rPr>
          <w:rFonts w:ascii="Times New Roman" w:hAnsi="Times New Roman"/>
          <w:bCs/>
          <w:iCs/>
        </w:rPr>
        <w:t>Spółka złożyła skargę na radcę prawnego, czy jest ona zasadna?</w:t>
      </w:r>
    </w:p>
    <w:p w:rsidR="00E528C8" w:rsidRDefault="00E528C8">
      <w:pPr>
        <w:pStyle w:val="Standard"/>
        <w:spacing w:after="96" w:line="240" w:lineRule="auto"/>
        <w:jc w:val="both"/>
        <w:rPr>
          <w:rFonts w:ascii="Times New Roman" w:hAnsi="Times New Roman"/>
          <w:bCs/>
          <w:iCs/>
        </w:rPr>
      </w:pPr>
    </w:p>
    <w:p w:rsidR="00E528C8" w:rsidRDefault="00E528C8">
      <w:pPr>
        <w:pStyle w:val="Standard"/>
        <w:spacing w:after="96" w:line="240" w:lineRule="auto"/>
        <w:jc w:val="both"/>
        <w:rPr>
          <w:rFonts w:ascii="Times New Roman" w:hAnsi="Times New Roman"/>
          <w:bCs/>
          <w:iCs/>
        </w:rPr>
      </w:pPr>
    </w:p>
    <w:p w:rsidR="00E528C8" w:rsidRDefault="00C01134" w:rsidP="009B172E">
      <w:pPr>
        <w:pStyle w:val="Standard"/>
        <w:spacing w:after="96" w:line="240" w:lineRule="auto"/>
        <w:jc w:val="both"/>
      </w:pPr>
      <w:r>
        <w:rPr>
          <w:rFonts w:ascii="Times New Roman" w:hAnsi="Times New Roman"/>
          <w:bCs/>
          <w:iCs/>
        </w:rPr>
        <w:t xml:space="preserve">10. </w:t>
      </w:r>
      <w:r w:rsidR="00833023">
        <w:rPr>
          <w:rFonts w:ascii="Times New Roman" w:hAnsi="Times New Roman"/>
          <w:bCs/>
          <w:iCs/>
        </w:rPr>
        <w:t>Radca prawny Józef Nowak uzyskał dla klientki prawomocny wyrok sądowy, na mocy którego sąd zasądził na jej rzecz 70.000,00 zł tytułem odszkodowania oraz 20.000,00 zł tytułem zwrotu kosztów procesu, w których zawarty był również wpis sądowy. Radca prawny, na życzenie klientki, we wniosku egzekucyjnym wskazał konto bankowe kancelarii do przelewu wszystkich kwot zasądzonych w wyroku. Konto to nie było wyodrębnione od innych rachunków kancelarii. Zgodnie z wnioskiem r. pr. komornik w toku egzekucji przelał na konto kancelarii wszystkie kwoty zasądzone w wyroku sądowym. Radca prawny nie zawarł z klientką umowy dotyczącej wysokości honorarium i otrzymał od niej z tego tytułu kwotę 14.317,00 zł w gotówce. Klientka nie otrzymała pokwitowania wpłacenia tej kwoty ani też paragonu czy faktury. Następnie klientka upomniała się u radcy prawnego, że żąda aby przelał na jej konto bankowe wszystkie kwoty, które komornik przelał na konto bankowe radcy prawnego, w tym także koszty zastępstwa procesowego. Radca prawny przelał klientce kwotę należności głównej, tj. 70.000,00 zł oraz kwotę 3.517 zł tytułem wpisu sądowego i opłaty od pełnomocnictwa, ale oświadczył, że koszty zasądzone w wyroku w kwocie 10.800 zł stanowią jego wynagrodzenie z tytułu zastępstwa procesowego oraz z tytułu tzw. premii za sukces za uzyskanie wyroku sądowego oraz sprawne wyegzekwowanie zasądzonych kwot na drodze postępowania egzekucyjnego. Oprócz kwot wskazanych wyżej komornik przelał na konto kancelarii koszty zastępstwa radcy prawnego w postępowaniu egzekucyjnym.</w:t>
      </w:r>
    </w:p>
    <w:p w:rsidR="00E528C8" w:rsidRDefault="00833023">
      <w:pPr>
        <w:pStyle w:val="Standard"/>
        <w:spacing w:after="96" w:line="240" w:lineRule="auto"/>
        <w:jc w:val="both"/>
      </w:pPr>
      <w:r>
        <w:rPr>
          <w:rFonts w:ascii="Times New Roman" w:hAnsi="Times New Roman"/>
          <w:bCs/>
          <w:iCs/>
        </w:rPr>
        <w:t>Klientka złożyła skargę na radcę prawnego, czy jest ona słuszna?</w:t>
      </w:r>
    </w:p>
    <w:p w:rsidR="00E528C8" w:rsidRDefault="00E528C8">
      <w:pPr>
        <w:pStyle w:val="Standard"/>
        <w:spacing w:after="96" w:line="240" w:lineRule="auto"/>
        <w:jc w:val="both"/>
      </w:pPr>
    </w:p>
    <w:p w:rsidR="00E528C8" w:rsidRDefault="00C01134" w:rsidP="009B172E">
      <w:pPr>
        <w:pStyle w:val="Standard"/>
        <w:spacing w:after="96" w:line="240" w:lineRule="auto"/>
        <w:jc w:val="both"/>
      </w:pPr>
      <w:r>
        <w:rPr>
          <w:rFonts w:ascii="Times New Roman" w:hAnsi="Times New Roman"/>
          <w:bCs/>
          <w:iCs/>
        </w:rPr>
        <w:t xml:space="preserve">11. </w:t>
      </w:r>
      <w:r w:rsidR="00833023">
        <w:rPr>
          <w:rFonts w:ascii="Times New Roman" w:hAnsi="Times New Roman"/>
          <w:bCs/>
          <w:iCs/>
        </w:rPr>
        <w:t>Radca prawny przyjął pełnomocnictwo klienta, gdzie miał wytoczyć powództwo, a wartość przedmiotu sporu wynosiła 50.000,00 zł z tytułu niezapłaconej faktury VAT. Radca prawny zawarł z klientem umowę, na podstawie której pobrał od niego kwotę 50,00 zł plus VAT tytułem kosztów zastępstwa procesowego oraz zastrzegł, że w przypadku wygrania sprawy będzie mu przysługiwała stawka ustalona w Rozporządzeniu Ministra Sprawiedliwości z dnia 22 października 2015 r. w sprawie opłat za czynności radców prawnych x 6 plus podatek VAT.</w:t>
      </w:r>
    </w:p>
    <w:p w:rsidR="00E528C8" w:rsidRDefault="00E528C8">
      <w:pPr>
        <w:pStyle w:val="Standard"/>
        <w:spacing w:after="96" w:line="240" w:lineRule="auto"/>
        <w:jc w:val="both"/>
      </w:pPr>
    </w:p>
    <w:p w:rsidR="00E528C8" w:rsidRDefault="00C01134" w:rsidP="009B172E">
      <w:pPr>
        <w:pStyle w:val="Standard"/>
        <w:spacing w:after="96" w:line="240" w:lineRule="auto"/>
        <w:jc w:val="both"/>
        <w:rPr>
          <w:rFonts w:ascii="Times New Roman" w:hAnsi="Times New Roman"/>
          <w:bCs/>
          <w:iCs/>
        </w:rPr>
      </w:pPr>
      <w:r>
        <w:rPr>
          <w:rFonts w:ascii="Times New Roman" w:hAnsi="Times New Roman"/>
          <w:bCs/>
          <w:iCs/>
        </w:rPr>
        <w:t xml:space="preserve">12 </w:t>
      </w:r>
      <w:r w:rsidR="009B172E">
        <w:rPr>
          <w:rFonts w:ascii="Times New Roman" w:hAnsi="Times New Roman"/>
          <w:bCs/>
          <w:iCs/>
        </w:rPr>
        <w:t>.</w:t>
      </w:r>
      <w:r w:rsidR="00833023">
        <w:rPr>
          <w:rFonts w:ascii="Times New Roman" w:hAnsi="Times New Roman"/>
          <w:bCs/>
          <w:iCs/>
        </w:rPr>
        <w:t>Czy w umowie o świadczenie pomocy prawnej dopuszczalne jest ustalenie dodatkowego wynagrodzenia dla radcy prawnego za pomyślny wynik sprawy przy założeniu ustalenia wynagrodzenia podstawowego zgodnie z obowiązującymi zasadami?</w:t>
      </w:r>
    </w:p>
    <w:p w:rsidR="009B172E" w:rsidRDefault="009B172E" w:rsidP="009B172E">
      <w:pPr>
        <w:pStyle w:val="Standard"/>
        <w:spacing w:after="96" w:line="240" w:lineRule="auto"/>
        <w:jc w:val="both"/>
        <w:rPr>
          <w:rFonts w:ascii="Times New Roman" w:hAnsi="Times New Roman"/>
          <w:bCs/>
          <w:iCs/>
        </w:rPr>
      </w:pPr>
    </w:p>
    <w:p w:rsidR="009B172E" w:rsidRDefault="009B172E" w:rsidP="009B172E">
      <w:pPr>
        <w:pStyle w:val="Standard"/>
        <w:spacing w:after="96" w:line="240" w:lineRule="auto"/>
        <w:jc w:val="both"/>
        <w:rPr>
          <w:rFonts w:ascii="Times New Roman" w:hAnsi="Times New Roman"/>
          <w:bCs/>
          <w:iCs/>
        </w:rPr>
      </w:pPr>
      <w:r>
        <w:rPr>
          <w:rFonts w:ascii="Times New Roman" w:hAnsi="Times New Roman"/>
          <w:bCs/>
          <w:iCs/>
        </w:rPr>
        <w:t>Ewa Banasik</w:t>
      </w:r>
    </w:p>
    <w:p w:rsidR="009B172E" w:rsidRDefault="009B172E" w:rsidP="009B172E">
      <w:pPr>
        <w:pStyle w:val="Standard"/>
        <w:spacing w:after="96" w:line="240" w:lineRule="auto"/>
        <w:jc w:val="both"/>
        <w:rPr>
          <w:rFonts w:ascii="Times New Roman" w:hAnsi="Times New Roman"/>
          <w:bCs/>
          <w:iCs/>
        </w:rPr>
      </w:pPr>
      <w:r>
        <w:rPr>
          <w:rFonts w:ascii="Times New Roman" w:hAnsi="Times New Roman"/>
          <w:bCs/>
          <w:iCs/>
        </w:rPr>
        <w:t>Radca prawny</w:t>
      </w:r>
    </w:p>
    <w:p w:rsidR="009B172E" w:rsidRDefault="009B172E" w:rsidP="009B172E">
      <w:pPr>
        <w:pStyle w:val="Standard"/>
        <w:spacing w:after="96" w:line="240" w:lineRule="auto"/>
        <w:jc w:val="both"/>
      </w:pPr>
    </w:p>
    <w:sectPr w:rsidR="009B172E" w:rsidSect="00E528C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94" w:rsidRDefault="00CC0494" w:rsidP="00E528C8">
      <w:r>
        <w:separator/>
      </w:r>
    </w:p>
  </w:endnote>
  <w:endnote w:type="continuationSeparator" w:id="0">
    <w:p w:rsidR="00CC0494" w:rsidRDefault="00CC0494" w:rsidP="00E5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94" w:rsidRDefault="00CC0494" w:rsidP="00E528C8">
      <w:r w:rsidRPr="00E528C8">
        <w:rPr>
          <w:color w:val="000000"/>
        </w:rPr>
        <w:separator/>
      </w:r>
    </w:p>
  </w:footnote>
  <w:footnote w:type="continuationSeparator" w:id="0">
    <w:p w:rsidR="00CC0494" w:rsidRDefault="00CC0494" w:rsidP="00E52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4EC6"/>
    <w:multiLevelType w:val="multilevel"/>
    <w:tmpl w:val="7448889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14B4A0E"/>
    <w:multiLevelType w:val="hybridMultilevel"/>
    <w:tmpl w:val="EFF2AA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A673CA"/>
    <w:multiLevelType w:val="multilevel"/>
    <w:tmpl w:val="A0C8889A"/>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
    <w:nsid w:val="4CF21B2B"/>
    <w:multiLevelType w:val="multilevel"/>
    <w:tmpl w:val="E190E224"/>
    <w:lvl w:ilvl="0">
      <w:start w:val="1"/>
      <w:numFmt w:val="decimal"/>
      <w:lvlText w:val="%1."/>
      <w:lvlJc w:val="left"/>
    </w:lvl>
    <w:lvl w:ilv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4B61560"/>
    <w:multiLevelType w:val="multilevel"/>
    <w:tmpl w:val="7F9E400C"/>
    <w:lvl w:ilvl="0">
      <w:start w:val="4"/>
      <w:numFmt w:val="decimal"/>
      <w:lvlText w:val="%1."/>
      <w:lvlJc w:val="left"/>
    </w:lvl>
    <w:lvl w:ilv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75D4093F"/>
    <w:multiLevelType w:val="multilevel"/>
    <w:tmpl w:val="EA08C362"/>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E528C8"/>
    <w:rsid w:val="000E22A8"/>
    <w:rsid w:val="0010175D"/>
    <w:rsid w:val="00266263"/>
    <w:rsid w:val="002B11DD"/>
    <w:rsid w:val="00364613"/>
    <w:rsid w:val="0048698D"/>
    <w:rsid w:val="00676F44"/>
    <w:rsid w:val="006906E9"/>
    <w:rsid w:val="0072021B"/>
    <w:rsid w:val="00833023"/>
    <w:rsid w:val="008A2D2C"/>
    <w:rsid w:val="009B172E"/>
    <w:rsid w:val="00A71E3A"/>
    <w:rsid w:val="00B30AB2"/>
    <w:rsid w:val="00B741E1"/>
    <w:rsid w:val="00C01134"/>
    <w:rsid w:val="00CC0494"/>
    <w:rsid w:val="00CD272D"/>
    <w:rsid w:val="00DE22F1"/>
    <w:rsid w:val="00E528C8"/>
    <w:rsid w:val="00FC25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pl-PL"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2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528C8"/>
    <w:pPr>
      <w:widowControl/>
      <w:spacing w:after="200" w:line="276" w:lineRule="auto"/>
    </w:pPr>
  </w:style>
  <w:style w:type="paragraph" w:customStyle="1" w:styleId="Heading">
    <w:name w:val="Heading"/>
    <w:basedOn w:val="Standard"/>
    <w:next w:val="Textbody"/>
    <w:rsid w:val="00E528C8"/>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E528C8"/>
    <w:pPr>
      <w:spacing w:after="140"/>
    </w:pPr>
  </w:style>
  <w:style w:type="paragraph" w:styleId="Lista">
    <w:name w:val="List"/>
    <w:basedOn w:val="Textbody"/>
    <w:rsid w:val="00E528C8"/>
    <w:rPr>
      <w:rFonts w:cs="Lucida Sans"/>
      <w:sz w:val="24"/>
    </w:rPr>
  </w:style>
  <w:style w:type="paragraph" w:customStyle="1" w:styleId="Caption">
    <w:name w:val="Caption"/>
    <w:basedOn w:val="Standard"/>
    <w:rsid w:val="00E528C8"/>
    <w:pPr>
      <w:suppressLineNumbers/>
      <w:spacing w:before="120" w:after="120"/>
    </w:pPr>
    <w:rPr>
      <w:rFonts w:cs="Lucida Sans"/>
      <w:i/>
      <w:iCs/>
      <w:sz w:val="24"/>
      <w:szCs w:val="24"/>
    </w:rPr>
  </w:style>
  <w:style w:type="paragraph" w:customStyle="1" w:styleId="Index">
    <w:name w:val="Index"/>
    <w:basedOn w:val="Standard"/>
    <w:rsid w:val="00E528C8"/>
    <w:pPr>
      <w:suppressLineNumbers/>
    </w:pPr>
    <w:rPr>
      <w:rFonts w:cs="Lucida Sans"/>
      <w:sz w:val="24"/>
    </w:rPr>
  </w:style>
  <w:style w:type="paragraph" w:customStyle="1" w:styleId="TableContents">
    <w:name w:val="Table Contents"/>
    <w:basedOn w:val="Standard"/>
    <w:rsid w:val="00E528C8"/>
    <w:pPr>
      <w:suppressLineNumbers/>
    </w:pPr>
  </w:style>
  <w:style w:type="character" w:customStyle="1" w:styleId="NumberingSymbols">
    <w:name w:val="Numbering Symbols"/>
    <w:rsid w:val="00E528C8"/>
  </w:style>
  <w:style w:type="numbering" w:customStyle="1" w:styleId="Numberingabc">
    <w:name w:val="Numbering abc"/>
    <w:basedOn w:val="Bezlisty"/>
    <w:rsid w:val="00E528C8"/>
    <w:pPr>
      <w:numPr>
        <w:numId w:val="1"/>
      </w:numPr>
    </w:pPr>
  </w:style>
  <w:style w:type="numbering" w:customStyle="1" w:styleId="Bezlisty1">
    <w:name w:val="Bez listy1"/>
    <w:basedOn w:val="Bezlisty"/>
    <w:rsid w:val="00E528C8"/>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10265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KWW</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ebanasik</dc:creator>
  <cp:lastModifiedBy>ebanasik</cp:lastModifiedBy>
  <cp:revision>2</cp:revision>
  <cp:lastPrinted>2023-04-11T13:43:00Z</cp:lastPrinted>
  <dcterms:created xsi:type="dcterms:W3CDTF">2024-02-12T16:59:00Z</dcterms:created>
  <dcterms:modified xsi:type="dcterms:W3CDTF">2024-02-12T16:59:00Z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KWW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