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42" w:rsidRDefault="00B22542" w:rsidP="00B225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prof. dr hab. Jacek Górecki</w:t>
      </w:r>
    </w:p>
    <w:p w:rsidR="00B22542" w:rsidRDefault="00B22542" w:rsidP="00B225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radca prawny</w:t>
      </w:r>
    </w:p>
    <w:p w:rsidR="00B22542" w:rsidRDefault="00B22542" w:rsidP="00B22542">
      <w:pPr>
        <w:rPr>
          <w:rFonts w:ascii="Arial" w:hAnsi="Arial" w:cs="Arial"/>
          <w:b/>
          <w:sz w:val="28"/>
          <w:szCs w:val="28"/>
        </w:rPr>
      </w:pPr>
    </w:p>
    <w:p w:rsidR="00B22542" w:rsidRDefault="00B22542" w:rsidP="00B225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KONSPEKTY DO WYKŁADÓW Z ZAKRESU PRAWA CYWILNEGO</w:t>
      </w:r>
    </w:p>
    <w:p w:rsidR="00B22542" w:rsidRDefault="00B22542" w:rsidP="00B225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(CZĘŚĆ OGÓLNA, PRAWO RZECZOWE, PRAWO SPADKOWE)</w:t>
      </w:r>
      <w:bookmarkStart w:id="0" w:name="_GoBack"/>
      <w:bookmarkEnd w:id="0"/>
    </w:p>
    <w:p w:rsidR="00B22542" w:rsidRDefault="00B22542" w:rsidP="00B22542">
      <w:pPr>
        <w:rPr>
          <w:rFonts w:ascii="Arial" w:hAnsi="Arial" w:cs="Arial"/>
          <w:b/>
          <w:sz w:val="28"/>
          <w:szCs w:val="28"/>
        </w:rPr>
      </w:pPr>
    </w:p>
    <w:p w:rsidR="00333DAE" w:rsidRPr="00B22542" w:rsidRDefault="00B22542" w:rsidP="00B2254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22542">
        <w:rPr>
          <w:rFonts w:ascii="Arial" w:hAnsi="Arial" w:cs="Arial"/>
          <w:b/>
          <w:sz w:val="28"/>
          <w:szCs w:val="28"/>
        </w:rPr>
        <w:t>PRAWO CYWILNE - CZĘŚĆ OGÓLNA I</w:t>
      </w:r>
    </w:p>
    <w:p w:rsidR="00B22542" w:rsidRPr="0007263C" w:rsidRDefault="006B0BA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PODMIOTY STOSUNKÓW CYWILNOPRAWNYCH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Podmioty prawa cywilnego – pojęcie i klasyfikacja</w:t>
      </w:r>
      <w:r w:rsidR="00AA108D">
        <w:rPr>
          <w:rFonts w:ascii="Arial" w:hAnsi="Arial" w:cs="Arial"/>
          <w:i/>
          <w:sz w:val="24"/>
          <w:szCs w:val="24"/>
        </w:rPr>
        <w:t>. Konsument.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Zdolność prawna i zdolność do czynności prawnych – pojęcie</w:t>
      </w:r>
      <w:r w:rsidR="002249A7">
        <w:rPr>
          <w:rFonts w:ascii="Arial" w:hAnsi="Arial" w:cs="Arial"/>
          <w:i/>
          <w:sz w:val="24"/>
          <w:szCs w:val="24"/>
        </w:rPr>
        <w:t>, nabycie i utrata.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Osoby fizyczne pozbawione zdolności do czynności prawnych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Osoby fizyczne o ograniczonej zdolności do czynności prawnych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Przedstawiciele ustawowi osób fizycznych pozbawionych zdolności do czynności prawnych i o ograniczonej zdolności do czynności prawnych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 xml:space="preserve">Osoby prawne – pojęcie, </w:t>
      </w:r>
      <w:r w:rsidR="002249A7">
        <w:rPr>
          <w:rFonts w:ascii="Arial" w:hAnsi="Arial" w:cs="Arial"/>
          <w:i/>
          <w:sz w:val="24"/>
          <w:szCs w:val="24"/>
        </w:rPr>
        <w:t xml:space="preserve">rodzaje, </w:t>
      </w:r>
      <w:r w:rsidRPr="00B22542">
        <w:rPr>
          <w:rFonts w:ascii="Arial" w:hAnsi="Arial" w:cs="Arial"/>
          <w:i/>
          <w:sz w:val="24"/>
          <w:szCs w:val="24"/>
        </w:rPr>
        <w:t>sposoby nadawania osobowości prawnej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Działanie osób prawnych i ich reprezentacja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Reprezentacja osób prawnych na przykładach osób prawnych najczęściej występujących w obrocie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B22542" w:rsidRP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Ustalanie zasad reprezentacji osób prawnych i konsekwencje braku odpowiedniej reprezentacji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B22542" w:rsidRDefault="00B22542">
      <w:pPr>
        <w:rPr>
          <w:rFonts w:ascii="Arial" w:hAnsi="Arial" w:cs="Arial"/>
          <w:i/>
          <w:sz w:val="24"/>
          <w:szCs w:val="24"/>
        </w:rPr>
      </w:pPr>
      <w:r w:rsidRPr="00B22542">
        <w:rPr>
          <w:rFonts w:ascii="Arial" w:hAnsi="Arial" w:cs="Arial"/>
          <w:i/>
          <w:sz w:val="24"/>
          <w:szCs w:val="24"/>
        </w:rPr>
        <w:t>Jednostki organizacyjne nie będące osobami prawnymi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AA108D" w:rsidRDefault="00AA10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>Ochrona dóbr osobistych</w:t>
      </w:r>
      <w:r w:rsidR="002249A7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B22542" w:rsidRPr="00B22542" w:rsidRDefault="00B22542">
      <w:pPr>
        <w:rPr>
          <w:rFonts w:ascii="Arial" w:hAnsi="Arial" w:cs="Arial"/>
          <w:b/>
          <w:sz w:val="28"/>
          <w:szCs w:val="28"/>
        </w:rPr>
      </w:pPr>
    </w:p>
    <w:p w:rsidR="00B22542" w:rsidRPr="00B22542" w:rsidRDefault="00B22542" w:rsidP="00B2254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22542">
        <w:rPr>
          <w:rFonts w:ascii="Arial" w:hAnsi="Arial" w:cs="Arial"/>
          <w:b/>
          <w:sz w:val="28"/>
          <w:szCs w:val="28"/>
        </w:rPr>
        <w:t>PRAWO CYWILNE - CZĘŚĆ OGÓLNA II</w:t>
      </w:r>
    </w:p>
    <w:p w:rsidR="00B22542" w:rsidRPr="0007263C" w:rsidRDefault="00B22542" w:rsidP="00B22542">
      <w:pPr>
        <w:rPr>
          <w:rFonts w:ascii="Arial" w:hAnsi="Arial" w:cs="Arial"/>
          <w:b/>
          <w:i/>
          <w:sz w:val="28"/>
          <w:szCs w:val="28"/>
        </w:rPr>
      </w:pPr>
      <w:r w:rsidRPr="0007263C">
        <w:rPr>
          <w:rFonts w:ascii="Arial" w:hAnsi="Arial" w:cs="Arial"/>
          <w:b/>
          <w:i/>
          <w:sz w:val="28"/>
          <w:szCs w:val="28"/>
        </w:rPr>
        <w:t>CZYNNOŚCI PRAWNE</w:t>
      </w:r>
      <w:r w:rsidR="006B0BA2">
        <w:rPr>
          <w:rFonts w:ascii="Arial" w:hAnsi="Arial" w:cs="Arial"/>
          <w:b/>
          <w:i/>
          <w:sz w:val="28"/>
          <w:szCs w:val="28"/>
        </w:rPr>
        <w:t>, W TYM UMOWY</w:t>
      </w:r>
    </w:p>
    <w:p w:rsidR="00B22542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 xml:space="preserve">Pojęcie czynności prawnej i jej rodzaje. 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>Oświadczenie woli i jego wykładnia.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>Przesłanki ważności czynności prawnych.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>Forma czynności prawnej</w:t>
      </w:r>
      <w:r w:rsidR="002249A7">
        <w:rPr>
          <w:rFonts w:ascii="Arial" w:hAnsi="Arial" w:cs="Arial"/>
          <w:i/>
          <w:sz w:val="24"/>
          <w:szCs w:val="24"/>
        </w:rPr>
        <w:t xml:space="preserve"> określona przez ustawę</w:t>
      </w:r>
      <w:r w:rsidRPr="00AA108D">
        <w:rPr>
          <w:rFonts w:ascii="Arial" w:hAnsi="Arial" w:cs="Arial"/>
          <w:i/>
          <w:sz w:val="24"/>
          <w:szCs w:val="24"/>
        </w:rPr>
        <w:t xml:space="preserve"> i skutki jej niedochowania.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>Forma czynności prawnej zastrzeżona wolą stron.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lastRenderedPageBreak/>
        <w:t>Wady oświadczenia woli i skutki ich występowania.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>Treść czynności prawnej i jej wpływ na ważność czynności prawnej.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>Sprzeczność czynności prawnej z ustawą i z zasadami współżycia społecznego. Obejście prawa.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>Warunek i termin.</w:t>
      </w:r>
    </w:p>
    <w:p w:rsidR="00AA108D" w:rsidRPr="00AA108D" w:rsidRDefault="00AA108D">
      <w:pPr>
        <w:rPr>
          <w:rFonts w:ascii="Arial" w:hAnsi="Arial" w:cs="Arial"/>
          <w:i/>
          <w:sz w:val="24"/>
          <w:szCs w:val="24"/>
        </w:rPr>
      </w:pPr>
      <w:r w:rsidRPr="00AA108D">
        <w:rPr>
          <w:rFonts w:ascii="Arial" w:hAnsi="Arial" w:cs="Arial"/>
          <w:i/>
          <w:sz w:val="24"/>
          <w:szCs w:val="24"/>
        </w:rPr>
        <w:t>Sposoby zawarcia umowy (oferta, przetarg, negocjacje).</w:t>
      </w:r>
    </w:p>
    <w:p w:rsidR="00AA108D" w:rsidRPr="00B22542" w:rsidRDefault="00AA108D">
      <w:pPr>
        <w:rPr>
          <w:rFonts w:ascii="Arial" w:hAnsi="Arial" w:cs="Arial"/>
          <w:b/>
          <w:sz w:val="28"/>
          <w:szCs w:val="28"/>
        </w:rPr>
      </w:pPr>
    </w:p>
    <w:p w:rsidR="00B22542" w:rsidRPr="00B22542" w:rsidRDefault="00B22542" w:rsidP="00B2254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22542">
        <w:rPr>
          <w:rFonts w:ascii="Arial" w:hAnsi="Arial" w:cs="Arial"/>
          <w:b/>
          <w:sz w:val="28"/>
          <w:szCs w:val="28"/>
        </w:rPr>
        <w:t>PRAWO CYWILNE - CZĘŚĆ OGÓLNA III</w:t>
      </w:r>
    </w:p>
    <w:p w:rsidR="00B22542" w:rsidRPr="0007263C" w:rsidRDefault="00B22542" w:rsidP="00B22542">
      <w:pPr>
        <w:rPr>
          <w:rFonts w:ascii="Arial" w:hAnsi="Arial" w:cs="Arial"/>
          <w:b/>
          <w:i/>
          <w:sz w:val="28"/>
          <w:szCs w:val="28"/>
        </w:rPr>
      </w:pPr>
      <w:r w:rsidRPr="0007263C">
        <w:rPr>
          <w:rFonts w:ascii="Arial" w:hAnsi="Arial" w:cs="Arial"/>
          <w:b/>
          <w:i/>
          <w:sz w:val="28"/>
          <w:szCs w:val="28"/>
        </w:rPr>
        <w:t>PRZEDSTAWICIELSTWO, PRZEDAWNIENIE</w:t>
      </w:r>
    </w:p>
    <w:p w:rsidR="00B22542" w:rsidRPr="0007263C" w:rsidRDefault="00E610C9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Przedstawicielstwo i jego rodzaje.</w:t>
      </w:r>
    </w:p>
    <w:p w:rsidR="00E610C9" w:rsidRPr="0007263C" w:rsidRDefault="00E610C9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Przedstawicielstwo ustawowe – przykłady</w:t>
      </w:r>
      <w:r w:rsidR="002249A7">
        <w:rPr>
          <w:rFonts w:ascii="Arial" w:hAnsi="Arial" w:cs="Arial"/>
          <w:i/>
          <w:sz w:val="24"/>
          <w:szCs w:val="24"/>
        </w:rPr>
        <w:t>.</w:t>
      </w:r>
    </w:p>
    <w:p w:rsidR="00E610C9" w:rsidRPr="0007263C" w:rsidRDefault="00E610C9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Domniemanie pełnomocnictwa z art. 97 k.c.</w:t>
      </w:r>
    </w:p>
    <w:p w:rsidR="00E610C9" w:rsidRPr="0007263C" w:rsidRDefault="00E610C9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Rodzaje pełnomocnictwa i jego udzielanie.</w:t>
      </w:r>
    </w:p>
    <w:p w:rsidR="00E610C9" w:rsidRPr="0007263C" w:rsidRDefault="00E610C9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Działanie pełnomocnika (ograniczenia, falsus procurator)</w:t>
      </w:r>
      <w:r w:rsidR="0007263C" w:rsidRPr="0007263C">
        <w:rPr>
          <w:rFonts w:ascii="Arial" w:hAnsi="Arial" w:cs="Arial"/>
          <w:i/>
          <w:sz w:val="24"/>
          <w:szCs w:val="24"/>
        </w:rPr>
        <w:t>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Wygaśnięcie pełnomocnictwa i jego skutki.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Prokura – pojęcie i rodzaje. Zakres umocowania prokurenta.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Ustanowienie prokurenta i jego działanie.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Prokura łączna.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Wygaśnięcie prokury.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Ustanowienie pełnomocnictwa lub prokury na rzecz członka organu osoby prawnej</w:t>
      </w:r>
      <w:r>
        <w:rPr>
          <w:rFonts w:ascii="Arial" w:hAnsi="Arial" w:cs="Arial"/>
          <w:i/>
          <w:sz w:val="24"/>
          <w:szCs w:val="24"/>
        </w:rPr>
        <w:t>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Przedawnienie – pojęcie, terminy, skutki.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Bieg terminu przedawnienia.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Przerwa i zawieszenie biegu terminu przedawnienia.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Przedawnienie roszczeń stwierdzonych orzeczeniem sądu.</w:t>
      </w:r>
    </w:p>
    <w:p w:rsidR="0007263C" w:rsidRP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263C">
        <w:rPr>
          <w:rFonts w:ascii="Arial" w:hAnsi="Arial" w:cs="Arial"/>
          <w:i/>
          <w:sz w:val="24"/>
          <w:szCs w:val="24"/>
        </w:rPr>
        <w:t>Terminy zawite.</w:t>
      </w:r>
    </w:p>
    <w:p w:rsidR="0007263C" w:rsidRPr="00B22542" w:rsidRDefault="0007263C" w:rsidP="00B22542">
      <w:pPr>
        <w:rPr>
          <w:rFonts w:ascii="Arial" w:hAnsi="Arial" w:cs="Arial"/>
          <w:b/>
          <w:sz w:val="28"/>
          <w:szCs w:val="28"/>
        </w:rPr>
      </w:pPr>
    </w:p>
    <w:p w:rsidR="00B22542" w:rsidRPr="00B22542" w:rsidRDefault="00B22542" w:rsidP="00B2254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22542">
        <w:rPr>
          <w:rFonts w:ascii="Arial" w:hAnsi="Arial" w:cs="Arial"/>
          <w:b/>
          <w:sz w:val="28"/>
          <w:szCs w:val="28"/>
        </w:rPr>
        <w:t>PRAWO CYWILNE – PRAWO RZECZOWE I</w:t>
      </w:r>
    </w:p>
    <w:p w:rsidR="00B22542" w:rsidRDefault="006B0BA2" w:rsidP="00B225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MIENIE. POSIADANIE.</w:t>
      </w:r>
      <w:r w:rsidR="00B22542" w:rsidRPr="0007263C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WŁASNOŚĆ I JEJ OCHRONA</w:t>
      </w:r>
    </w:p>
    <w:p w:rsidR="006B0BA2" w:rsidRDefault="006B0BA2" w:rsidP="00B225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Mienie. Rzecz. Część składowa, przynależność, pożytki i ich rodzaje.</w:t>
      </w:r>
    </w:p>
    <w:p w:rsidR="006B0BA2" w:rsidRDefault="006B0BA2" w:rsidP="00B225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Nieruchomość i jej rodzaje.</w:t>
      </w:r>
    </w:p>
    <w:p w:rsidR="006B0BA2" w:rsidRDefault="006B0BA2" w:rsidP="00B225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Nieruchomość w ujęciu wieczystoksięgowym.</w:t>
      </w:r>
    </w:p>
    <w:p w:rsidR="006B0BA2" w:rsidRDefault="006B0BA2" w:rsidP="00B225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Przedsiębiorstwo – pojęcie, zbycie, odpowiedzialność za długi.</w:t>
      </w:r>
    </w:p>
    <w:p w:rsidR="0007263C" w:rsidRPr="0007574E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Posiadanie – pojęcie, przedmiot, rodzaje. Dzierżenie.</w:t>
      </w:r>
    </w:p>
    <w:p w:rsidR="0007263C" w:rsidRPr="0007574E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Domniemania związane z posiadaniem.</w:t>
      </w:r>
    </w:p>
    <w:p w:rsidR="0007263C" w:rsidRPr="0007574E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Przeniesienie posiadania.</w:t>
      </w:r>
    </w:p>
    <w:p w:rsidR="0007263C" w:rsidRDefault="0007263C" w:rsidP="00B2254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Ochrona posiadania (</w:t>
      </w:r>
      <w:r w:rsidR="002249A7">
        <w:rPr>
          <w:rFonts w:ascii="Arial" w:hAnsi="Arial" w:cs="Arial"/>
          <w:i/>
          <w:sz w:val="24"/>
          <w:szCs w:val="24"/>
        </w:rPr>
        <w:t xml:space="preserve"> w tym </w:t>
      </w:r>
      <w:r w:rsidRPr="0007574E">
        <w:rPr>
          <w:rFonts w:ascii="Arial" w:hAnsi="Arial" w:cs="Arial"/>
          <w:i/>
          <w:sz w:val="24"/>
          <w:szCs w:val="24"/>
        </w:rPr>
        <w:t>powództwo posesoryjne).</w:t>
      </w:r>
    </w:p>
    <w:p w:rsidR="006B0BA2" w:rsidRDefault="006B0BA2" w:rsidP="00B225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Własność – pojęcie. </w:t>
      </w:r>
    </w:p>
    <w:p w:rsidR="006B0BA2" w:rsidRDefault="006B0BA2" w:rsidP="00B225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Prawo sąsiedzkie.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Roszczenie windykacyjne i negatoryjne.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Roszczenia uzupełniające.</w:t>
      </w:r>
    </w:p>
    <w:p w:rsidR="006B0BA2" w:rsidRPr="0007574E" w:rsidRDefault="006B0BA2" w:rsidP="00B2254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Budowa na cudzym gruncie.</w:t>
      </w:r>
    </w:p>
    <w:p w:rsidR="00B22542" w:rsidRPr="00B22542" w:rsidRDefault="00B22542" w:rsidP="00B22542">
      <w:pPr>
        <w:rPr>
          <w:rFonts w:ascii="Arial" w:hAnsi="Arial" w:cs="Arial"/>
          <w:b/>
          <w:sz w:val="28"/>
          <w:szCs w:val="28"/>
        </w:rPr>
      </w:pPr>
    </w:p>
    <w:p w:rsidR="00B22542" w:rsidRDefault="00B22542" w:rsidP="00B2254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22542">
        <w:rPr>
          <w:rFonts w:ascii="Arial" w:hAnsi="Arial" w:cs="Arial"/>
          <w:b/>
          <w:sz w:val="28"/>
          <w:szCs w:val="28"/>
        </w:rPr>
        <w:t>PRAWO CYWILNE – PRAWO RZECZOWE II</w:t>
      </w:r>
    </w:p>
    <w:p w:rsidR="006B0BA2" w:rsidRPr="006B0BA2" w:rsidRDefault="006B0BA2" w:rsidP="006B0B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UMOWNE PRZENIESIENIE WŁASNOŚCI. ZASIEDZENIE. WSPÓŁWŁASNOŚĆ. </w:t>
      </w:r>
      <w:r>
        <w:rPr>
          <w:rFonts w:ascii="Arial" w:hAnsi="Arial" w:cs="Arial"/>
          <w:b/>
          <w:i/>
          <w:sz w:val="28"/>
          <w:szCs w:val="28"/>
        </w:rPr>
        <w:t>UŻYTKOWANIE WIECZYSTE.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Umowne nabycie własności.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Specyfika obrotu nieruchomościami.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Nabycie własności rzeczy ruchomej od nieuprawnionego.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Zasiedzenie – pojęcie, przedmiot, przesłanki, skutki.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Współwłasność łączna i ułamkowa.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Stosunki między współwłaścicielami.</w:t>
      </w:r>
    </w:p>
    <w:p w:rsidR="006B0BA2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Zniesienie współwłasności.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Użytkowanie wieczyste – geneza, treść, sposoby powstania.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Wykonywanie, przeniesienie i wygaśnięcie użytkowania wieczystego.</w:t>
      </w:r>
    </w:p>
    <w:p w:rsidR="00B22542" w:rsidRPr="00B22542" w:rsidRDefault="00B22542" w:rsidP="00B22542">
      <w:pPr>
        <w:rPr>
          <w:rFonts w:ascii="Arial" w:hAnsi="Arial" w:cs="Arial"/>
          <w:b/>
          <w:sz w:val="28"/>
          <w:szCs w:val="28"/>
        </w:rPr>
      </w:pPr>
    </w:p>
    <w:p w:rsidR="00B22542" w:rsidRPr="00B22542" w:rsidRDefault="00B22542" w:rsidP="00B2254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22542">
        <w:rPr>
          <w:rFonts w:ascii="Arial" w:hAnsi="Arial" w:cs="Arial"/>
          <w:b/>
          <w:sz w:val="28"/>
          <w:szCs w:val="28"/>
        </w:rPr>
        <w:t>PRAWO CYWILNE – PRAWO RZECZOWE III</w:t>
      </w:r>
    </w:p>
    <w:p w:rsidR="00B22542" w:rsidRPr="002249A7" w:rsidRDefault="006B0BA2" w:rsidP="00B2254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UŻYTKOWANIE. SŁUŻEBNOŚCI. </w:t>
      </w:r>
      <w:r w:rsidR="00B22542" w:rsidRPr="002249A7">
        <w:rPr>
          <w:rFonts w:ascii="Arial" w:hAnsi="Arial" w:cs="Arial"/>
          <w:b/>
          <w:i/>
          <w:sz w:val="28"/>
          <w:szCs w:val="28"/>
        </w:rPr>
        <w:t>HIPOTEKA I KSIĘGI WIECZYSTE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 xml:space="preserve"> 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Ograniczone prawa rzeczowe – pojęcie, katalog, przepisy ogólne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Użytkowanie – treść, sposób powstania, przedmiot.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lastRenderedPageBreak/>
        <w:t>Wykonywanie użytkowania i jego wygaśnięcie.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Służebności gruntowe – pojęcie, treść, sposoby powstania.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Wykonywanie służebności gruntowej i jej wygaśnięcie.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Służebności osobiste (służebność mieszkania)</w:t>
      </w:r>
    </w:p>
    <w:p w:rsidR="006B0BA2" w:rsidRPr="0007574E" w:rsidRDefault="006B0BA2" w:rsidP="006B0BA2">
      <w:pPr>
        <w:rPr>
          <w:rFonts w:ascii="Arial" w:hAnsi="Arial" w:cs="Arial"/>
          <w:i/>
          <w:sz w:val="24"/>
          <w:szCs w:val="24"/>
        </w:rPr>
      </w:pPr>
      <w:r w:rsidRPr="0007574E">
        <w:rPr>
          <w:rFonts w:ascii="Arial" w:hAnsi="Arial" w:cs="Arial"/>
          <w:i/>
          <w:sz w:val="24"/>
          <w:szCs w:val="24"/>
        </w:rPr>
        <w:t>Służebność przesyłu ( w tym pojęcie urządzeń przesyłowych i ustalanie ich właściciela oraz służebność gruntowa o treści odpowiadającej służebności przesyłu)</w:t>
      </w:r>
    </w:p>
    <w:p w:rsidR="00B22542" w:rsidRPr="008B6A4C" w:rsidRDefault="0007574E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Pojęcie hipoteki i jej przedmiot.</w:t>
      </w:r>
    </w:p>
    <w:p w:rsidR="0007574E" w:rsidRPr="008B6A4C" w:rsidRDefault="0007574E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Sposoby powstania hipoteki</w:t>
      </w:r>
      <w:r w:rsidR="008B6A4C" w:rsidRPr="008B6A4C">
        <w:rPr>
          <w:rFonts w:ascii="Arial" w:hAnsi="Arial" w:cs="Arial"/>
          <w:i/>
          <w:sz w:val="24"/>
          <w:szCs w:val="24"/>
        </w:rPr>
        <w:t xml:space="preserve"> i jej rodzaje.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Wierzytelności zabezpieczane hipoteką. Administrator hipoteki.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Suma hipoteki.</w:t>
      </w:r>
      <w:r w:rsidR="006B0BA2">
        <w:rPr>
          <w:rFonts w:ascii="Arial" w:hAnsi="Arial" w:cs="Arial"/>
          <w:i/>
          <w:sz w:val="24"/>
          <w:szCs w:val="24"/>
        </w:rPr>
        <w:t xml:space="preserve"> </w:t>
      </w:r>
      <w:r w:rsidRPr="008B6A4C">
        <w:rPr>
          <w:rFonts w:ascii="Arial" w:hAnsi="Arial" w:cs="Arial"/>
          <w:i/>
          <w:sz w:val="24"/>
          <w:szCs w:val="24"/>
        </w:rPr>
        <w:t>Nadzabezpieczenie i jego usunięcie.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Przelew wierzytelności zabezpieczonej hipoteką.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Wygaśnięcie hipoteki i jego skutki.</w:t>
      </w:r>
      <w:r w:rsidR="006B0BA2">
        <w:rPr>
          <w:rFonts w:ascii="Arial" w:hAnsi="Arial" w:cs="Arial"/>
          <w:i/>
          <w:sz w:val="24"/>
          <w:szCs w:val="24"/>
        </w:rPr>
        <w:t xml:space="preserve"> </w:t>
      </w:r>
      <w:r w:rsidRPr="008B6A4C">
        <w:rPr>
          <w:rFonts w:ascii="Arial" w:hAnsi="Arial" w:cs="Arial"/>
          <w:i/>
          <w:sz w:val="24"/>
          <w:szCs w:val="24"/>
        </w:rPr>
        <w:t>Rozporządzanie opróżnionym miejscem hipotecznym.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Księgi wieczyste – pojęcie, sposób prowadzenia, jawność, domniemania.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Wpis do księgi wieczystej. Skuteczność wpisów.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Wpisy deklaratoryjne, konstytutywne, obowiązkowe.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>Wniosek o wpis i dokumenty z nim składane.</w:t>
      </w:r>
    </w:p>
    <w:p w:rsidR="008B6A4C" w:rsidRPr="008B6A4C" w:rsidRDefault="008B6A4C" w:rsidP="00B22542">
      <w:pPr>
        <w:rPr>
          <w:rFonts w:ascii="Arial" w:hAnsi="Arial" w:cs="Arial"/>
          <w:i/>
          <w:sz w:val="24"/>
          <w:szCs w:val="24"/>
        </w:rPr>
      </w:pPr>
      <w:r w:rsidRPr="008B6A4C">
        <w:rPr>
          <w:rFonts w:ascii="Arial" w:hAnsi="Arial" w:cs="Arial"/>
          <w:i/>
          <w:sz w:val="24"/>
          <w:szCs w:val="24"/>
        </w:rPr>
        <w:t xml:space="preserve">Uzgodnienie treści księgi wieczystej z rzeczywistym stanem prawnym. </w:t>
      </w:r>
    </w:p>
    <w:p w:rsidR="008B6A4C" w:rsidRDefault="008B6A4C" w:rsidP="00B22542">
      <w:pPr>
        <w:rPr>
          <w:rFonts w:ascii="Arial" w:hAnsi="Arial" w:cs="Arial"/>
          <w:b/>
          <w:sz w:val="28"/>
          <w:szCs w:val="28"/>
        </w:rPr>
      </w:pPr>
      <w:r w:rsidRPr="008B6A4C">
        <w:rPr>
          <w:rFonts w:ascii="Arial" w:hAnsi="Arial" w:cs="Arial"/>
          <w:i/>
          <w:sz w:val="24"/>
          <w:szCs w:val="24"/>
        </w:rPr>
        <w:t>Rękojmia wiary publicznej ksiąg wieczystych.</w:t>
      </w:r>
    </w:p>
    <w:p w:rsidR="008B6A4C" w:rsidRPr="00B22542" w:rsidRDefault="008B6A4C" w:rsidP="00B22542">
      <w:pPr>
        <w:rPr>
          <w:rFonts w:ascii="Arial" w:hAnsi="Arial" w:cs="Arial"/>
          <w:b/>
          <w:sz w:val="28"/>
          <w:szCs w:val="28"/>
        </w:rPr>
      </w:pPr>
    </w:p>
    <w:p w:rsidR="00B22542" w:rsidRPr="00B22542" w:rsidRDefault="00B22542" w:rsidP="00B2254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22542">
        <w:rPr>
          <w:rFonts w:ascii="Arial" w:hAnsi="Arial" w:cs="Arial"/>
          <w:b/>
          <w:sz w:val="28"/>
          <w:szCs w:val="28"/>
        </w:rPr>
        <w:t>PRAWO CYWILNE – PRAWO SPADKOWE I</w:t>
      </w:r>
    </w:p>
    <w:p w:rsidR="00B22542" w:rsidRPr="002249A7" w:rsidRDefault="006B0BA2" w:rsidP="00B2254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SPADEK. </w:t>
      </w:r>
      <w:r w:rsidR="00B22542" w:rsidRPr="002249A7">
        <w:rPr>
          <w:rFonts w:ascii="Arial" w:hAnsi="Arial" w:cs="Arial"/>
          <w:b/>
          <w:i/>
          <w:sz w:val="28"/>
          <w:szCs w:val="28"/>
        </w:rPr>
        <w:t>DZIEDZICZENIE USTAWOWE</w:t>
      </w:r>
      <w:r w:rsidR="00CB66C0">
        <w:rPr>
          <w:rFonts w:ascii="Arial" w:hAnsi="Arial" w:cs="Arial"/>
          <w:b/>
          <w:i/>
          <w:sz w:val="28"/>
          <w:szCs w:val="28"/>
        </w:rPr>
        <w:t xml:space="preserve"> I TESTAMENTOWE</w:t>
      </w:r>
    </w:p>
    <w:p w:rsidR="00363F89" w:rsidRPr="00363F89" w:rsidRDefault="00363F89" w:rsidP="00B22542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Pojęcie spadku i jego zawartość</w:t>
      </w:r>
      <w:r w:rsidR="00CB66C0">
        <w:rPr>
          <w:rFonts w:ascii="Arial" w:hAnsi="Arial" w:cs="Arial"/>
          <w:i/>
          <w:sz w:val="24"/>
          <w:szCs w:val="24"/>
        </w:rPr>
        <w:t xml:space="preserve">. </w:t>
      </w:r>
      <w:r w:rsidRPr="00363F89">
        <w:rPr>
          <w:rFonts w:ascii="Arial" w:hAnsi="Arial" w:cs="Arial"/>
          <w:i/>
          <w:sz w:val="24"/>
          <w:szCs w:val="24"/>
        </w:rPr>
        <w:t>Zdolność dziedziczenia.</w:t>
      </w:r>
    </w:p>
    <w:p w:rsidR="00363F89" w:rsidRPr="00363F89" w:rsidRDefault="00363F89" w:rsidP="00B22542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Niegodność dziedziczenia – pojęcie, przesłanki, sposób stwierdzania, skutki.</w:t>
      </w:r>
    </w:p>
    <w:p w:rsidR="00363F89" w:rsidRPr="00363F89" w:rsidRDefault="00363F89" w:rsidP="00B22542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 xml:space="preserve">Tytuły dziedziczenia. </w:t>
      </w:r>
    </w:p>
    <w:p w:rsidR="002249A7" w:rsidRPr="00363F89" w:rsidRDefault="00363F89" w:rsidP="00B22542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Krąg osób uprawnionych do dziedziczenia z ustawy. Zmiany stanu prawnego w tym zakresie</w:t>
      </w:r>
      <w:r>
        <w:rPr>
          <w:rFonts w:ascii="Arial" w:hAnsi="Arial" w:cs="Arial"/>
          <w:i/>
          <w:sz w:val="24"/>
          <w:szCs w:val="24"/>
        </w:rPr>
        <w:t xml:space="preserve"> (w tym w odniesieniu do</w:t>
      </w:r>
      <w:r w:rsidRPr="00363F89">
        <w:rPr>
          <w:rFonts w:ascii="Arial" w:hAnsi="Arial" w:cs="Arial"/>
          <w:i/>
          <w:sz w:val="24"/>
          <w:szCs w:val="24"/>
        </w:rPr>
        <w:t xml:space="preserve"> dziedziczenia gospodarstw rolnych).</w:t>
      </w:r>
      <w:r w:rsidR="00CB66C0">
        <w:rPr>
          <w:rFonts w:ascii="Arial" w:hAnsi="Arial" w:cs="Arial"/>
          <w:i/>
          <w:sz w:val="24"/>
          <w:szCs w:val="24"/>
        </w:rPr>
        <w:t xml:space="preserve"> </w:t>
      </w:r>
      <w:r w:rsidR="002249A7">
        <w:rPr>
          <w:rFonts w:ascii="Arial" w:hAnsi="Arial" w:cs="Arial"/>
          <w:i/>
          <w:sz w:val="24"/>
          <w:szCs w:val="24"/>
        </w:rPr>
        <w:t>Zrzeczenie się dziedziczenia.</w:t>
      </w:r>
    </w:p>
    <w:p w:rsidR="00363F89" w:rsidRPr="00363F89" w:rsidRDefault="00363F89" w:rsidP="00B22542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Ustalanie udziałów przysługujących spadkobiercom ustawowym.</w:t>
      </w:r>
    </w:p>
    <w:p w:rsidR="00CB66C0" w:rsidRPr="00363F89" w:rsidRDefault="00CB66C0" w:rsidP="00CB66C0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Pojęcie testamentu. Swoboda testowania.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63F89">
        <w:rPr>
          <w:rFonts w:ascii="Arial" w:hAnsi="Arial" w:cs="Arial"/>
          <w:i/>
          <w:sz w:val="24"/>
          <w:szCs w:val="24"/>
        </w:rPr>
        <w:t>Przesłanki ważności testamentu.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63F89">
        <w:rPr>
          <w:rFonts w:ascii="Arial" w:hAnsi="Arial" w:cs="Arial"/>
          <w:i/>
          <w:sz w:val="24"/>
          <w:szCs w:val="24"/>
        </w:rPr>
        <w:t>Wady oświadczenia woli przy sporządzaniu testamentu.</w:t>
      </w:r>
    </w:p>
    <w:p w:rsidR="00CB66C0" w:rsidRPr="00363F89" w:rsidRDefault="00CB66C0" w:rsidP="00CB66C0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Formy testamentów (testamenty zwykłe i szczególne).</w:t>
      </w:r>
    </w:p>
    <w:p w:rsidR="00CB66C0" w:rsidRPr="00363F89" w:rsidRDefault="00CB66C0" w:rsidP="00CB66C0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lastRenderedPageBreak/>
        <w:t>Powołanie do dziedziczenia na podstawie testamentu.</w:t>
      </w:r>
    </w:p>
    <w:p w:rsidR="00CB66C0" w:rsidRPr="00363F89" w:rsidRDefault="00CB66C0" w:rsidP="00CB66C0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Zapis zwykły i windykacyjny. Zapis dalszy.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63F89">
        <w:rPr>
          <w:rFonts w:ascii="Arial" w:hAnsi="Arial" w:cs="Arial"/>
          <w:i/>
          <w:sz w:val="24"/>
          <w:szCs w:val="24"/>
        </w:rPr>
        <w:t>Wykonawca testamentu.</w:t>
      </w:r>
    </w:p>
    <w:p w:rsidR="00CB66C0" w:rsidRPr="00363F89" w:rsidRDefault="00CB66C0" w:rsidP="00CB66C0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Wykładnia testamentu i jego odwołanie.</w:t>
      </w:r>
    </w:p>
    <w:p w:rsidR="00CB66C0" w:rsidRPr="00363F89" w:rsidRDefault="00CB66C0" w:rsidP="00B22542">
      <w:pPr>
        <w:rPr>
          <w:rFonts w:ascii="Arial" w:hAnsi="Arial" w:cs="Arial"/>
          <w:i/>
          <w:sz w:val="24"/>
          <w:szCs w:val="24"/>
        </w:rPr>
      </w:pPr>
    </w:p>
    <w:p w:rsidR="00B22542" w:rsidRPr="00B22542" w:rsidRDefault="00B22542" w:rsidP="00B2254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22542">
        <w:rPr>
          <w:rFonts w:ascii="Arial" w:hAnsi="Arial" w:cs="Arial"/>
          <w:b/>
          <w:sz w:val="28"/>
          <w:szCs w:val="28"/>
        </w:rPr>
        <w:t>PRAWO CYWILNE – PRAWO SPADKOWE II</w:t>
      </w:r>
    </w:p>
    <w:p w:rsidR="00CB66C0" w:rsidRDefault="00B22542" w:rsidP="00CB66C0">
      <w:pPr>
        <w:rPr>
          <w:rFonts w:ascii="Arial" w:hAnsi="Arial" w:cs="Arial"/>
          <w:b/>
          <w:i/>
          <w:sz w:val="28"/>
          <w:szCs w:val="28"/>
        </w:rPr>
      </w:pPr>
      <w:r w:rsidRPr="00363F89">
        <w:rPr>
          <w:rFonts w:ascii="Arial" w:hAnsi="Arial" w:cs="Arial"/>
          <w:b/>
          <w:i/>
          <w:sz w:val="28"/>
          <w:szCs w:val="28"/>
        </w:rPr>
        <w:t>STWIERDZANIE PRAW DO SPADKU</w:t>
      </w:r>
      <w:r w:rsidR="006B0BA2">
        <w:rPr>
          <w:rFonts w:ascii="Arial" w:hAnsi="Arial" w:cs="Arial"/>
          <w:b/>
          <w:i/>
          <w:sz w:val="28"/>
          <w:szCs w:val="28"/>
        </w:rPr>
        <w:t>.</w:t>
      </w:r>
      <w:r w:rsidR="00CB66C0">
        <w:rPr>
          <w:rFonts w:ascii="Arial" w:hAnsi="Arial" w:cs="Arial"/>
          <w:b/>
          <w:i/>
          <w:sz w:val="28"/>
          <w:szCs w:val="28"/>
        </w:rPr>
        <w:t xml:space="preserve"> </w:t>
      </w:r>
      <w:r w:rsidR="006B0BA2">
        <w:rPr>
          <w:rFonts w:ascii="Arial" w:hAnsi="Arial" w:cs="Arial"/>
          <w:b/>
          <w:i/>
          <w:sz w:val="28"/>
          <w:szCs w:val="28"/>
        </w:rPr>
        <w:t>WSPÓLNOŚĆ MAJĄTKU SPADKOWEGO.</w:t>
      </w:r>
      <w:r w:rsidR="00CB66C0" w:rsidRPr="002249A7">
        <w:rPr>
          <w:rFonts w:ascii="Arial" w:hAnsi="Arial" w:cs="Arial"/>
          <w:b/>
          <w:i/>
          <w:sz w:val="28"/>
          <w:szCs w:val="28"/>
        </w:rPr>
        <w:t xml:space="preserve"> DZIAŁ SPADKU</w:t>
      </w:r>
      <w:r w:rsidR="006B0BA2">
        <w:rPr>
          <w:rFonts w:ascii="Arial" w:hAnsi="Arial" w:cs="Arial"/>
          <w:b/>
          <w:i/>
          <w:sz w:val="28"/>
          <w:szCs w:val="28"/>
        </w:rPr>
        <w:t>.</w:t>
      </w:r>
      <w:r w:rsidR="00CB66C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63F89" w:rsidRDefault="00363F89" w:rsidP="00B22542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Oświadczenie o przyjęciu lub odrzuceniu spadku.</w:t>
      </w:r>
    </w:p>
    <w:p w:rsidR="006B0BA2" w:rsidRDefault="00363F89" w:rsidP="00B22542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 xml:space="preserve">Postępowanie o stwierdzenie nabycia spadku. </w:t>
      </w:r>
    </w:p>
    <w:p w:rsidR="00363F89" w:rsidRPr="00363F89" w:rsidRDefault="00363F89" w:rsidP="00B22542">
      <w:pPr>
        <w:rPr>
          <w:rFonts w:ascii="Arial" w:hAnsi="Arial" w:cs="Arial"/>
          <w:i/>
          <w:sz w:val="24"/>
          <w:szCs w:val="24"/>
        </w:rPr>
      </w:pPr>
      <w:r w:rsidRPr="00363F89">
        <w:rPr>
          <w:rFonts w:ascii="Arial" w:hAnsi="Arial" w:cs="Arial"/>
          <w:i/>
          <w:sz w:val="24"/>
          <w:szCs w:val="24"/>
        </w:rPr>
        <w:t>Akt poświadczenia dziedziczenia.</w:t>
      </w:r>
      <w:r w:rsidR="006B0BA2">
        <w:rPr>
          <w:rFonts w:ascii="Arial" w:hAnsi="Arial" w:cs="Arial"/>
          <w:i/>
          <w:sz w:val="24"/>
          <w:szCs w:val="24"/>
        </w:rPr>
        <w:t xml:space="preserve"> Europejskie poświadczenie dziedziczenia.</w:t>
      </w:r>
    </w:p>
    <w:p w:rsidR="006B0BA2" w:rsidRDefault="002249A7" w:rsidP="00B2254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Wspólność majątku spadkowego.</w:t>
      </w:r>
      <w:r>
        <w:rPr>
          <w:rFonts w:ascii="Arial" w:hAnsi="Arial" w:cs="Arial"/>
          <w:i/>
          <w:sz w:val="24"/>
          <w:szCs w:val="24"/>
        </w:rPr>
        <w:t xml:space="preserve"> Zarząd spadkiem.</w:t>
      </w:r>
      <w:r w:rsidR="00CB66C0">
        <w:rPr>
          <w:rFonts w:ascii="Arial" w:hAnsi="Arial" w:cs="Arial"/>
          <w:i/>
          <w:sz w:val="24"/>
          <w:szCs w:val="24"/>
        </w:rPr>
        <w:t xml:space="preserve"> </w:t>
      </w:r>
    </w:p>
    <w:p w:rsidR="002249A7" w:rsidRPr="002249A7" w:rsidRDefault="002249A7" w:rsidP="00B2254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Obrót udziałem w spadku i w przedmiocie należącym do spadku.</w:t>
      </w:r>
    </w:p>
    <w:p w:rsidR="006B0BA2" w:rsidRDefault="002249A7" w:rsidP="00B2254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 xml:space="preserve">Umowny i sądowy dział spadku. </w:t>
      </w:r>
    </w:p>
    <w:p w:rsidR="002249A7" w:rsidRPr="002249A7" w:rsidRDefault="002249A7" w:rsidP="00B2254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Wyznaczanie sched spadkowych.</w:t>
      </w:r>
    </w:p>
    <w:p w:rsidR="00B22542" w:rsidRDefault="00B22542"/>
    <w:p w:rsidR="006B0BA2" w:rsidRPr="006B0BA2" w:rsidRDefault="006B0BA2" w:rsidP="006B0BA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B0BA2">
        <w:rPr>
          <w:rFonts w:ascii="Arial" w:hAnsi="Arial" w:cs="Arial"/>
          <w:b/>
          <w:sz w:val="28"/>
          <w:szCs w:val="28"/>
        </w:rPr>
        <w:t>PRAWO CYWILNE – PRAWO SPADKOWE II</w:t>
      </w:r>
      <w:r>
        <w:rPr>
          <w:rFonts w:ascii="Arial" w:hAnsi="Arial" w:cs="Arial"/>
          <w:b/>
          <w:sz w:val="28"/>
          <w:szCs w:val="28"/>
        </w:rPr>
        <w:t>I</w:t>
      </w:r>
    </w:p>
    <w:p w:rsidR="006B0BA2" w:rsidRDefault="006B0BA2">
      <w:pPr>
        <w:rPr>
          <w:rFonts w:ascii="Arial" w:hAnsi="Arial" w:cs="Arial"/>
          <w:b/>
          <w:i/>
          <w:sz w:val="28"/>
          <w:szCs w:val="28"/>
        </w:rPr>
      </w:pPr>
      <w:r w:rsidRPr="002249A7">
        <w:rPr>
          <w:rFonts w:ascii="Arial" w:hAnsi="Arial" w:cs="Arial"/>
          <w:b/>
          <w:i/>
          <w:sz w:val="28"/>
          <w:szCs w:val="28"/>
        </w:rPr>
        <w:t>ODP</w:t>
      </w:r>
      <w:r>
        <w:rPr>
          <w:rFonts w:ascii="Arial" w:hAnsi="Arial" w:cs="Arial"/>
          <w:b/>
          <w:i/>
          <w:sz w:val="28"/>
          <w:szCs w:val="28"/>
        </w:rPr>
        <w:t xml:space="preserve">OWIEDZIALNOŚĆ ZA DŁUGI SPADKOWE. </w:t>
      </w:r>
      <w:r>
        <w:rPr>
          <w:rFonts w:ascii="Arial" w:hAnsi="Arial" w:cs="Arial"/>
          <w:b/>
          <w:i/>
          <w:sz w:val="28"/>
          <w:szCs w:val="28"/>
        </w:rPr>
        <w:t>ZACHOWEK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6B0BA2" w:rsidRDefault="006B0BA2" w:rsidP="006B0BA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Pojęcie długów spadkowych.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B0BA2" w:rsidRPr="002249A7" w:rsidRDefault="006B0BA2" w:rsidP="006B0BA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Osoby ponoszące odpowiedzialność za długi spadkowe.</w:t>
      </w:r>
    </w:p>
    <w:p w:rsidR="006B0BA2" w:rsidRDefault="006B0BA2" w:rsidP="006B0BA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Zakres odpowiedzialności za długi spadkowe.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B0BA2" w:rsidRPr="002249A7" w:rsidRDefault="006B0BA2" w:rsidP="006B0BA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Spis inwentarza, wykaz inwentarza.</w:t>
      </w:r>
    </w:p>
    <w:p w:rsidR="006B0BA2" w:rsidRDefault="006B0BA2" w:rsidP="006B0BA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Zachowek – pojęcie, osoby uprawnione i zobowiązane.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B0BA2" w:rsidRPr="002249A7" w:rsidRDefault="006B0BA2" w:rsidP="006B0BA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Wydziedziczenie.</w:t>
      </w:r>
    </w:p>
    <w:p w:rsidR="006B0BA2" w:rsidRDefault="006B0BA2" w:rsidP="006B0BA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Wyliczanie zachowku.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B0BA2" w:rsidRDefault="006B0BA2" w:rsidP="006B0BA2">
      <w:pPr>
        <w:rPr>
          <w:rFonts w:ascii="Arial" w:hAnsi="Arial" w:cs="Arial"/>
          <w:i/>
          <w:sz w:val="24"/>
          <w:szCs w:val="24"/>
        </w:rPr>
      </w:pPr>
      <w:r w:rsidRPr="002249A7">
        <w:rPr>
          <w:rFonts w:ascii="Arial" w:hAnsi="Arial" w:cs="Arial"/>
          <w:i/>
          <w:sz w:val="24"/>
          <w:szCs w:val="24"/>
        </w:rPr>
        <w:t>Dochodzenie roszczenia o zachowek (uzupełnienie zachowku).</w:t>
      </w:r>
    </w:p>
    <w:p w:rsidR="006B0BA2" w:rsidRPr="006B0BA2" w:rsidRDefault="006B0BA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Zbywalność i dziedziczność roszczenia o zachowek.</w:t>
      </w:r>
    </w:p>
    <w:sectPr w:rsidR="006B0BA2" w:rsidRPr="006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6ED"/>
    <w:multiLevelType w:val="hybridMultilevel"/>
    <w:tmpl w:val="1F70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0C12"/>
    <w:multiLevelType w:val="hybridMultilevel"/>
    <w:tmpl w:val="1F70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8E"/>
    <w:rsid w:val="00011615"/>
    <w:rsid w:val="00015080"/>
    <w:rsid w:val="0001663B"/>
    <w:rsid w:val="0001727C"/>
    <w:rsid w:val="00032C94"/>
    <w:rsid w:val="0003678D"/>
    <w:rsid w:val="0004177B"/>
    <w:rsid w:val="0004585E"/>
    <w:rsid w:val="00045DE0"/>
    <w:rsid w:val="00045EBA"/>
    <w:rsid w:val="0007263C"/>
    <w:rsid w:val="00074C5E"/>
    <w:rsid w:val="00074E1B"/>
    <w:rsid w:val="0007574E"/>
    <w:rsid w:val="00097726"/>
    <w:rsid w:val="000A04F4"/>
    <w:rsid w:val="000C4BD8"/>
    <w:rsid w:val="000C6EF4"/>
    <w:rsid w:val="000E3A42"/>
    <w:rsid w:val="001222AE"/>
    <w:rsid w:val="00123A66"/>
    <w:rsid w:val="00124320"/>
    <w:rsid w:val="00136BCC"/>
    <w:rsid w:val="00147471"/>
    <w:rsid w:val="00150E72"/>
    <w:rsid w:val="00160572"/>
    <w:rsid w:val="001670B8"/>
    <w:rsid w:val="00171BE1"/>
    <w:rsid w:val="001731BF"/>
    <w:rsid w:val="001829D1"/>
    <w:rsid w:val="00185CCD"/>
    <w:rsid w:val="001935D8"/>
    <w:rsid w:val="001A4992"/>
    <w:rsid w:val="001C1931"/>
    <w:rsid w:val="001C2AFD"/>
    <w:rsid w:val="001C40ED"/>
    <w:rsid w:val="001E47C6"/>
    <w:rsid w:val="0020265E"/>
    <w:rsid w:val="00215624"/>
    <w:rsid w:val="00217332"/>
    <w:rsid w:val="00221CB0"/>
    <w:rsid w:val="00223542"/>
    <w:rsid w:val="00224212"/>
    <w:rsid w:val="002249A7"/>
    <w:rsid w:val="00231E60"/>
    <w:rsid w:val="00235844"/>
    <w:rsid w:val="002431C1"/>
    <w:rsid w:val="00251AD9"/>
    <w:rsid w:val="00262CA4"/>
    <w:rsid w:val="0027027D"/>
    <w:rsid w:val="00297A0B"/>
    <w:rsid w:val="002A3C83"/>
    <w:rsid w:val="002C0D00"/>
    <w:rsid w:val="002C19D4"/>
    <w:rsid w:val="002C5F59"/>
    <w:rsid w:val="002C629B"/>
    <w:rsid w:val="002D3C2F"/>
    <w:rsid w:val="002D63F3"/>
    <w:rsid w:val="002F6CE1"/>
    <w:rsid w:val="00300B93"/>
    <w:rsid w:val="003059B5"/>
    <w:rsid w:val="003076BE"/>
    <w:rsid w:val="00310837"/>
    <w:rsid w:val="00332A46"/>
    <w:rsid w:val="00333DAE"/>
    <w:rsid w:val="003344E4"/>
    <w:rsid w:val="00343C82"/>
    <w:rsid w:val="00347807"/>
    <w:rsid w:val="00363F89"/>
    <w:rsid w:val="0037231E"/>
    <w:rsid w:val="003A531C"/>
    <w:rsid w:val="003B5A78"/>
    <w:rsid w:val="003C7F28"/>
    <w:rsid w:val="004043FD"/>
    <w:rsid w:val="00407230"/>
    <w:rsid w:val="004204E8"/>
    <w:rsid w:val="004269DB"/>
    <w:rsid w:val="0044200F"/>
    <w:rsid w:val="004443B8"/>
    <w:rsid w:val="004561F9"/>
    <w:rsid w:val="004578ED"/>
    <w:rsid w:val="004645EF"/>
    <w:rsid w:val="004753BB"/>
    <w:rsid w:val="00481DB7"/>
    <w:rsid w:val="00482E95"/>
    <w:rsid w:val="00490291"/>
    <w:rsid w:val="00493A98"/>
    <w:rsid w:val="004A0CF2"/>
    <w:rsid w:val="004A2C89"/>
    <w:rsid w:val="004B555C"/>
    <w:rsid w:val="004B5A0E"/>
    <w:rsid w:val="004B6E9B"/>
    <w:rsid w:val="004C387A"/>
    <w:rsid w:val="004D2AE6"/>
    <w:rsid w:val="004E342C"/>
    <w:rsid w:val="004E6003"/>
    <w:rsid w:val="004E7059"/>
    <w:rsid w:val="004F105A"/>
    <w:rsid w:val="005108C1"/>
    <w:rsid w:val="00511381"/>
    <w:rsid w:val="0051740A"/>
    <w:rsid w:val="00521C1A"/>
    <w:rsid w:val="00525A24"/>
    <w:rsid w:val="00531559"/>
    <w:rsid w:val="00534A20"/>
    <w:rsid w:val="00577EA5"/>
    <w:rsid w:val="00580EE7"/>
    <w:rsid w:val="00587F38"/>
    <w:rsid w:val="005A347F"/>
    <w:rsid w:val="005D2B8F"/>
    <w:rsid w:val="005E2D30"/>
    <w:rsid w:val="00613384"/>
    <w:rsid w:val="006156C8"/>
    <w:rsid w:val="0064494C"/>
    <w:rsid w:val="00651A1B"/>
    <w:rsid w:val="0067301D"/>
    <w:rsid w:val="00677610"/>
    <w:rsid w:val="00690812"/>
    <w:rsid w:val="006A254E"/>
    <w:rsid w:val="006A6952"/>
    <w:rsid w:val="006B0BA2"/>
    <w:rsid w:val="006D6490"/>
    <w:rsid w:val="006E5325"/>
    <w:rsid w:val="006F5E28"/>
    <w:rsid w:val="006F6845"/>
    <w:rsid w:val="0070418E"/>
    <w:rsid w:val="00710DBF"/>
    <w:rsid w:val="00713C00"/>
    <w:rsid w:val="00740709"/>
    <w:rsid w:val="00740D47"/>
    <w:rsid w:val="00743F0A"/>
    <w:rsid w:val="007454C1"/>
    <w:rsid w:val="007522C7"/>
    <w:rsid w:val="0075463E"/>
    <w:rsid w:val="00765D5E"/>
    <w:rsid w:val="00772A95"/>
    <w:rsid w:val="00782C67"/>
    <w:rsid w:val="007879C2"/>
    <w:rsid w:val="007962D9"/>
    <w:rsid w:val="007A22B5"/>
    <w:rsid w:val="007A37FF"/>
    <w:rsid w:val="007A7DA7"/>
    <w:rsid w:val="007B4A27"/>
    <w:rsid w:val="0082020F"/>
    <w:rsid w:val="00855838"/>
    <w:rsid w:val="0088545D"/>
    <w:rsid w:val="008941BB"/>
    <w:rsid w:val="008A7150"/>
    <w:rsid w:val="008B259D"/>
    <w:rsid w:val="008B6A4C"/>
    <w:rsid w:val="008D225B"/>
    <w:rsid w:val="008D7576"/>
    <w:rsid w:val="00901FD2"/>
    <w:rsid w:val="009117E2"/>
    <w:rsid w:val="0094292E"/>
    <w:rsid w:val="009464C9"/>
    <w:rsid w:val="00985593"/>
    <w:rsid w:val="009858A2"/>
    <w:rsid w:val="009A37AC"/>
    <w:rsid w:val="009A4D50"/>
    <w:rsid w:val="009C03B5"/>
    <w:rsid w:val="009D0E7E"/>
    <w:rsid w:val="009D15D6"/>
    <w:rsid w:val="009D40B9"/>
    <w:rsid w:val="009E6B4B"/>
    <w:rsid w:val="00A13833"/>
    <w:rsid w:val="00A227A0"/>
    <w:rsid w:val="00A25407"/>
    <w:rsid w:val="00A3398A"/>
    <w:rsid w:val="00A379D7"/>
    <w:rsid w:val="00A4137B"/>
    <w:rsid w:val="00A44361"/>
    <w:rsid w:val="00A53194"/>
    <w:rsid w:val="00A773FE"/>
    <w:rsid w:val="00A858B7"/>
    <w:rsid w:val="00A87C15"/>
    <w:rsid w:val="00A95EE1"/>
    <w:rsid w:val="00AA108D"/>
    <w:rsid w:val="00AA4F16"/>
    <w:rsid w:val="00AD1EEC"/>
    <w:rsid w:val="00AD5B9E"/>
    <w:rsid w:val="00AD7610"/>
    <w:rsid w:val="00AF3D0F"/>
    <w:rsid w:val="00B21AD8"/>
    <w:rsid w:val="00B22542"/>
    <w:rsid w:val="00B24DC4"/>
    <w:rsid w:val="00B3340B"/>
    <w:rsid w:val="00B46D02"/>
    <w:rsid w:val="00B56FC5"/>
    <w:rsid w:val="00B57A0B"/>
    <w:rsid w:val="00B63C23"/>
    <w:rsid w:val="00B64165"/>
    <w:rsid w:val="00B72077"/>
    <w:rsid w:val="00B93A3B"/>
    <w:rsid w:val="00BA6318"/>
    <w:rsid w:val="00BB37F2"/>
    <w:rsid w:val="00BB61E7"/>
    <w:rsid w:val="00BC4969"/>
    <w:rsid w:val="00BC4A75"/>
    <w:rsid w:val="00C30B61"/>
    <w:rsid w:val="00C30E2F"/>
    <w:rsid w:val="00C43F1B"/>
    <w:rsid w:val="00C50087"/>
    <w:rsid w:val="00C62ED1"/>
    <w:rsid w:val="00C64CB1"/>
    <w:rsid w:val="00C64E87"/>
    <w:rsid w:val="00C66140"/>
    <w:rsid w:val="00C709F0"/>
    <w:rsid w:val="00C85522"/>
    <w:rsid w:val="00CA3735"/>
    <w:rsid w:val="00CA45F2"/>
    <w:rsid w:val="00CA7BEC"/>
    <w:rsid w:val="00CB2116"/>
    <w:rsid w:val="00CB66C0"/>
    <w:rsid w:val="00CC4770"/>
    <w:rsid w:val="00CC672A"/>
    <w:rsid w:val="00CE16FC"/>
    <w:rsid w:val="00CF1F2D"/>
    <w:rsid w:val="00D1737F"/>
    <w:rsid w:val="00D21C73"/>
    <w:rsid w:val="00D5257F"/>
    <w:rsid w:val="00D54B50"/>
    <w:rsid w:val="00D62ADB"/>
    <w:rsid w:val="00D74CBA"/>
    <w:rsid w:val="00D80E2E"/>
    <w:rsid w:val="00DA43A6"/>
    <w:rsid w:val="00DE3415"/>
    <w:rsid w:val="00DF6C8E"/>
    <w:rsid w:val="00E10D54"/>
    <w:rsid w:val="00E1115D"/>
    <w:rsid w:val="00E143B7"/>
    <w:rsid w:val="00E23BCB"/>
    <w:rsid w:val="00E318DF"/>
    <w:rsid w:val="00E34505"/>
    <w:rsid w:val="00E3583B"/>
    <w:rsid w:val="00E35E05"/>
    <w:rsid w:val="00E610C9"/>
    <w:rsid w:val="00E6528B"/>
    <w:rsid w:val="00E7179D"/>
    <w:rsid w:val="00E92FFF"/>
    <w:rsid w:val="00EA6A89"/>
    <w:rsid w:val="00EC2C88"/>
    <w:rsid w:val="00EC365B"/>
    <w:rsid w:val="00EC5000"/>
    <w:rsid w:val="00EC7F12"/>
    <w:rsid w:val="00ED0E2F"/>
    <w:rsid w:val="00EE27E5"/>
    <w:rsid w:val="00EF18B4"/>
    <w:rsid w:val="00F112D5"/>
    <w:rsid w:val="00F34925"/>
    <w:rsid w:val="00F34E60"/>
    <w:rsid w:val="00F51D75"/>
    <w:rsid w:val="00F642E5"/>
    <w:rsid w:val="00F80D96"/>
    <w:rsid w:val="00F83312"/>
    <w:rsid w:val="00F93816"/>
    <w:rsid w:val="00FD2710"/>
    <w:rsid w:val="00FE2104"/>
    <w:rsid w:val="00FE7742"/>
    <w:rsid w:val="00FF2F96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18D4-42CA-4CA7-B5FF-CC91322D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Górecki</dc:creator>
  <cp:keywords/>
  <dc:description/>
  <cp:lastModifiedBy>Jacek Górecki</cp:lastModifiedBy>
  <cp:revision>6</cp:revision>
  <dcterms:created xsi:type="dcterms:W3CDTF">2015-03-18T09:41:00Z</dcterms:created>
  <dcterms:modified xsi:type="dcterms:W3CDTF">2018-01-03T15:48:00Z</dcterms:modified>
</cp:coreProperties>
</file>