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C5" w:rsidRPr="001444C5" w:rsidRDefault="001444C5" w:rsidP="001444C5">
      <w:pPr>
        <w:spacing w:after="6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444C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dr </w:t>
      </w:r>
      <w:r w:rsidR="00B3512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hab. </w:t>
      </w:r>
      <w:r w:rsidRPr="001444C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Grzegorz </w:t>
      </w:r>
      <w:r w:rsidR="00C87708">
        <w:rPr>
          <w:rFonts w:ascii="Arial" w:eastAsia="Times New Roman" w:hAnsi="Arial" w:cs="Arial"/>
          <w:i/>
          <w:sz w:val="24"/>
          <w:szCs w:val="24"/>
          <w:lang w:eastAsia="pl-PL"/>
        </w:rPr>
        <w:t>Żmi</w:t>
      </w:r>
      <w:bookmarkStart w:id="0" w:name="_GoBack"/>
      <w:bookmarkEnd w:id="0"/>
      <w:r w:rsidR="00C87708">
        <w:rPr>
          <w:rFonts w:ascii="Arial" w:eastAsia="Times New Roman" w:hAnsi="Arial" w:cs="Arial"/>
          <w:i/>
          <w:sz w:val="24"/>
          <w:szCs w:val="24"/>
          <w:lang w:eastAsia="pl-PL"/>
        </w:rPr>
        <w:t>j</w:t>
      </w:r>
    </w:p>
    <w:p w:rsidR="001444C5" w:rsidRPr="001444C5" w:rsidRDefault="001444C5" w:rsidP="001444C5">
      <w:pPr>
        <w:spacing w:after="6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EB5455" w:rsidRDefault="001444C5" w:rsidP="001444C5">
      <w:pPr>
        <w:spacing w:after="6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1444C5">
        <w:rPr>
          <w:rFonts w:ascii="Arial" w:eastAsia="Times New Roman" w:hAnsi="Arial" w:cs="Arial"/>
          <w:i/>
          <w:sz w:val="28"/>
          <w:szCs w:val="28"/>
          <w:lang w:eastAsia="pl-PL"/>
        </w:rPr>
        <w:t>PRAWO CYWILNE</w:t>
      </w:r>
    </w:p>
    <w:p w:rsidR="00170AFA" w:rsidRDefault="00170AFA" w:rsidP="001444C5">
      <w:pPr>
        <w:spacing w:after="6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5771BC" w:rsidRDefault="005771BC" w:rsidP="001444C5">
      <w:pPr>
        <w:spacing w:after="6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771BC">
        <w:rPr>
          <w:rFonts w:ascii="Arial" w:eastAsia="Times New Roman" w:hAnsi="Arial" w:cs="Arial"/>
          <w:sz w:val="28"/>
          <w:szCs w:val="28"/>
          <w:lang w:eastAsia="pl-PL"/>
        </w:rPr>
        <w:t>Sprzedaż II</w:t>
      </w:r>
    </w:p>
    <w:p w:rsidR="00170AFA" w:rsidRPr="005771BC" w:rsidRDefault="00170AFA" w:rsidP="001444C5">
      <w:pPr>
        <w:spacing w:after="6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1444C5" w:rsidRPr="009E10B2" w:rsidRDefault="008E30D8" w:rsidP="001444C5">
      <w:pPr>
        <w:spacing w:after="6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</w:t>
      </w:r>
      <w:r w:rsidR="00EB5455">
        <w:rPr>
          <w:rFonts w:ascii="Arial" w:eastAsia="Times New Roman" w:hAnsi="Arial" w:cs="Arial"/>
          <w:i/>
          <w:sz w:val="28"/>
          <w:szCs w:val="28"/>
          <w:lang w:eastAsia="pl-PL"/>
        </w:rPr>
        <w:t>Szczególne rodzaje sprzedaży. Umowa przedwstępna</w:t>
      </w:r>
    </w:p>
    <w:p w:rsidR="009E10B2" w:rsidRDefault="009E10B2" w:rsidP="001444C5">
      <w:pPr>
        <w:spacing w:after="6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444C5" w:rsidRPr="00E76DDE" w:rsidRDefault="001444C5" w:rsidP="00EB3364">
      <w:pPr>
        <w:spacing w:after="6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</w:p>
    <w:p w:rsidR="001444C5" w:rsidRPr="00E76DDE" w:rsidRDefault="00EB5455" w:rsidP="00EB3364">
      <w:pPr>
        <w:numPr>
          <w:ilvl w:val="0"/>
          <w:numId w:val="4"/>
        </w:numPr>
        <w:spacing w:after="6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76DDE">
        <w:rPr>
          <w:rFonts w:ascii="Arial" w:hAnsi="Arial" w:cs="Arial"/>
          <w:sz w:val="28"/>
          <w:szCs w:val="28"/>
        </w:rPr>
        <w:t>Szczególne rodzaje sprzedaży</w:t>
      </w:r>
    </w:p>
    <w:p w:rsidR="001444C5" w:rsidRPr="00E76DDE" w:rsidRDefault="001444C5" w:rsidP="00EB3364">
      <w:pPr>
        <w:spacing w:after="6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B5455" w:rsidRPr="009E10B2" w:rsidRDefault="00EB5455" w:rsidP="00EB5455">
      <w:pPr>
        <w:spacing w:after="6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9E10B2">
        <w:rPr>
          <w:rFonts w:ascii="Arial" w:eastAsia="Times New Roman" w:hAnsi="Arial" w:cs="Arial"/>
          <w:i/>
          <w:sz w:val="28"/>
          <w:szCs w:val="28"/>
          <w:lang w:eastAsia="pl-PL"/>
        </w:rPr>
        <w:t>Konspekt</w:t>
      </w:r>
    </w:p>
    <w:p w:rsidR="00EB5455" w:rsidRDefault="00EB5455" w:rsidP="00EB3364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34CA" w:rsidRPr="00E834CA" w:rsidRDefault="00E834CA" w:rsidP="00E834CA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Sprzedaż konsumencka;</w:t>
      </w:r>
    </w:p>
    <w:p w:rsidR="00EB5455" w:rsidRDefault="00EB5455" w:rsidP="00EB5455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Sprzedaż na raty;</w:t>
      </w:r>
    </w:p>
    <w:p w:rsidR="00EB5455" w:rsidRDefault="00EB5455" w:rsidP="00EB5455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Sprzedaż z zastrzeżeniem prawa własności rzeczy sprzedanej;</w:t>
      </w:r>
    </w:p>
    <w:p w:rsidR="00EB5455" w:rsidRDefault="00EB5455" w:rsidP="00EB5455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Sprzedaż na próbę albo z zastrzeżeniem zbadania rzeczy;</w:t>
      </w:r>
    </w:p>
    <w:p w:rsidR="00EB5455" w:rsidRDefault="00EB5455" w:rsidP="00EB5455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Sprzedaż z zastrzeżeniem prawa odkupu;</w:t>
      </w:r>
    </w:p>
    <w:p w:rsidR="00EB5455" w:rsidRDefault="00EB5455" w:rsidP="00EB5455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Prawo pierwokupu;</w:t>
      </w:r>
    </w:p>
    <w:p w:rsidR="00EB5455" w:rsidRPr="000847DE" w:rsidRDefault="00EB5455" w:rsidP="00EB5455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Inne rodzaje </w:t>
      </w:r>
      <w:r w:rsidR="003311EE">
        <w:rPr>
          <w:rFonts w:ascii="Arial" w:hAnsi="Arial" w:cs="Arial"/>
          <w:sz w:val="24"/>
          <w:szCs w:val="24"/>
        </w:rPr>
        <w:t xml:space="preserve">umów przenoszących własność w obrocie: dostawa zamiana, zamiana, darowizna, </w:t>
      </w:r>
      <w:r w:rsidR="00BB28BB">
        <w:rPr>
          <w:rFonts w:ascii="Arial" w:hAnsi="Arial" w:cs="Arial"/>
          <w:sz w:val="24"/>
          <w:szCs w:val="24"/>
        </w:rPr>
        <w:t xml:space="preserve">umowa przewłaszczenia na zabezpieczenie, </w:t>
      </w:r>
      <w:r w:rsidR="003311EE">
        <w:rPr>
          <w:rFonts w:ascii="Arial" w:hAnsi="Arial" w:cs="Arial"/>
          <w:sz w:val="24"/>
          <w:szCs w:val="24"/>
        </w:rPr>
        <w:t>umowa deweloperska.</w:t>
      </w:r>
    </w:p>
    <w:p w:rsidR="000847DE" w:rsidRPr="00EB5455" w:rsidRDefault="000847DE" w:rsidP="00EB5455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Umowy nienazwane z elementami sprzedaży – umowa dystrybucyjna;</w:t>
      </w:r>
    </w:p>
    <w:p w:rsidR="00F070BE" w:rsidRDefault="00F070BE" w:rsidP="00F070BE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Sporządzenie wybranych klauzul umownych.</w:t>
      </w:r>
    </w:p>
    <w:p w:rsidR="00F070BE" w:rsidRPr="00F070BE" w:rsidRDefault="00F070BE" w:rsidP="00EE5141">
      <w:pPr>
        <w:tabs>
          <w:tab w:val="left" w:pos="1400"/>
        </w:tabs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5455" w:rsidRPr="00EB5455" w:rsidRDefault="00EB5455" w:rsidP="00EB5455">
      <w:pPr>
        <w:pStyle w:val="Akapitzlist"/>
        <w:spacing w:after="6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5455" w:rsidRDefault="00EB5455" w:rsidP="00EB3364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5455" w:rsidRPr="009E10B2" w:rsidRDefault="00EB5455" w:rsidP="00EB5455">
      <w:pPr>
        <w:spacing w:after="6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Źródła prawa</w:t>
      </w:r>
    </w:p>
    <w:p w:rsidR="00EB5455" w:rsidRPr="007471AE" w:rsidRDefault="00EB5455" w:rsidP="00EB3364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13884" w:rsidRDefault="005771BC" w:rsidP="00A8595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Ustawa z dnia 23 kwietnia 1964 r. Kodeks cywilny (</w:t>
      </w:r>
      <w:proofErr w:type="spellStart"/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t.j</w:t>
      </w:r>
      <w:proofErr w:type="spellEnd"/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. Dz.U. 20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17</w:t>
      </w: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 xml:space="preserve">, poz.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459</w:t>
      </w: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 xml:space="preserve"> ze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8772B8">
        <w:rPr>
          <w:rFonts w:ascii="Arial" w:hAnsi="Arial" w:cs="Arial"/>
          <w:color w:val="000000"/>
          <w:sz w:val="24"/>
          <w:szCs w:val="24"/>
          <w:lang w:eastAsia="pl-PL"/>
        </w:rPr>
        <w:t>zm.)</w:t>
      </w:r>
      <w:r w:rsidR="00A8595C" w:rsidRPr="00A8595C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170AFA" w:rsidRPr="00170AFA" w:rsidRDefault="00170AFA" w:rsidP="00170A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170AFA">
        <w:rPr>
          <w:rFonts w:ascii="Arial" w:hAnsi="Arial" w:cs="Arial"/>
          <w:color w:val="000000"/>
          <w:sz w:val="24"/>
          <w:szCs w:val="24"/>
          <w:lang w:eastAsia="pl-PL"/>
        </w:rPr>
        <w:t>Ustawa z dnia 30 maja 2014 r. o prawach konsumenta (</w:t>
      </w:r>
      <w:proofErr w:type="spellStart"/>
      <w:r w:rsidRPr="00170AFA">
        <w:rPr>
          <w:rFonts w:ascii="Arial" w:hAnsi="Arial" w:cs="Arial"/>
          <w:color w:val="000000"/>
          <w:sz w:val="24"/>
          <w:szCs w:val="24"/>
          <w:lang w:eastAsia="pl-PL"/>
        </w:rPr>
        <w:t>t.j</w:t>
      </w:r>
      <w:proofErr w:type="spellEnd"/>
      <w:r w:rsidRPr="00170AFA">
        <w:rPr>
          <w:rFonts w:ascii="Arial" w:hAnsi="Arial" w:cs="Arial"/>
          <w:color w:val="000000"/>
          <w:sz w:val="24"/>
          <w:szCs w:val="24"/>
          <w:lang w:eastAsia="pl-PL"/>
        </w:rPr>
        <w:t>. Dz.U. 2017, poz. 683  ze zm.)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313884" w:rsidRPr="007471AE" w:rsidRDefault="00313884" w:rsidP="00BB28BB">
      <w:pPr>
        <w:pStyle w:val="Akapitzlist"/>
        <w:numPr>
          <w:ilvl w:val="0"/>
          <w:numId w:val="7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71AE">
        <w:rPr>
          <w:rFonts w:ascii="Arial" w:hAnsi="Arial" w:cs="Arial"/>
          <w:sz w:val="24"/>
          <w:szCs w:val="24"/>
          <w:lang w:eastAsia="pl-PL"/>
        </w:rPr>
        <w:t xml:space="preserve">Ustawa z dnia </w:t>
      </w:r>
      <w:r w:rsidR="00E834CA">
        <w:rPr>
          <w:rFonts w:ascii="Arial" w:hAnsi="Arial" w:cs="Arial"/>
          <w:sz w:val="24"/>
          <w:szCs w:val="24"/>
          <w:lang w:eastAsia="pl-PL"/>
        </w:rPr>
        <w:t>9 maja 2014</w:t>
      </w:r>
      <w:r w:rsidRPr="007471AE">
        <w:rPr>
          <w:rFonts w:ascii="Arial" w:hAnsi="Arial" w:cs="Arial"/>
          <w:sz w:val="24"/>
          <w:szCs w:val="24"/>
          <w:lang w:eastAsia="pl-PL"/>
        </w:rPr>
        <w:t xml:space="preserve"> r. o </w:t>
      </w:r>
      <w:r w:rsidR="00E834CA">
        <w:rPr>
          <w:rFonts w:ascii="Arial" w:hAnsi="Arial" w:cs="Arial"/>
          <w:sz w:val="24"/>
          <w:szCs w:val="24"/>
          <w:lang w:eastAsia="pl-PL"/>
        </w:rPr>
        <w:t xml:space="preserve">informowaniu o </w:t>
      </w:r>
      <w:r w:rsidRPr="007471AE">
        <w:rPr>
          <w:rFonts w:ascii="Arial" w:hAnsi="Arial" w:cs="Arial"/>
          <w:sz w:val="24"/>
          <w:szCs w:val="24"/>
          <w:lang w:eastAsia="pl-PL"/>
        </w:rPr>
        <w:t xml:space="preserve">cenach </w:t>
      </w:r>
      <w:r w:rsidR="00E834CA">
        <w:rPr>
          <w:rFonts w:ascii="Arial" w:hAnsi="Arial" w:cs="Arial"/>
          <w:sz w:val="24"/>
          <w:szCs w:val="24"/>
          <w:lang w:eastAsia="pl-PL"/>
        </w:rPr>
        <w:t xml:space="preserve">towarów i usług </w:t>
      </w:r>
      <w:r w:rsidR="005771BC">
        <w:rPr>
          <w:rFonts w:ascii="Arial" w:hAnsi="Arial" w:cs="Arial"/>
          <w:sz w:val="24"/>
          <w:szCs w:val="24"/>
          <w:lang w:eastAsia="pl-PL"/>
        </w:rPr>
        <w:t>(Dz. U. 2017</w:t>
      </w:r>
      <w:r w:rsidRPr="007471AE">
        <w:rPr>
          <w:rFonts w:ascii="Arial" w:hAnsi="Arial" w:cs="Arial"/>
          <w:sz w:val="24"/>
          <w:szCs w:val="24"/>
          <w:lang w:eastAsia="pl-PL"/>
        </w:rPr>
        <w:t xml:space="preserve">, poz. </w:t>
      </w:r>
      <w:r w:rsidR="005771BC">
        <w:rPr>
          <w:rFonts w:ascii="Arial" w:hAnsi="Arial" w:cs="Arial"/>
          <w:sz w:val="24"/>
          <w:szCs w:val="24"/>
          <w:lang w:eastAsia="pl-PL"/>
        </w:rPr>
        <w:t>1830</w:t>
      </w:r>
      <w:r w:rsidR="0074181B">
        <w:rPr>
          <w:rFonts w:ascii="Arial" w:hAnsi="Arial" w:cs="Arial"/>
          <w:sz w:val="24"/>
          <w:szCs w:val="24"/>
          <w:lang w:eastAsia="pl-PL"/>
        </w:rPr>
        <w:t xml:space="preserve"> ze zm.</w:t>
      </w:r>
      <w:r w:rsidR="00EF4BEE" w:rsidRPr="007471AE">
        <w:rPr>
          <w:rFonts w:ascii="Arial" w:hAnsi="Arial" w:cs="Arial"/>
          <w:sz w:val="24"/>
          <w:szCs w:val="24"/>
          <w:lang w:eastAsia="pl-PL"/>
        </w:rPr>
        <w:t>)</w:t>
      </w:r>
      <w:r w:rsidR="0084011C">
        <w:rPr>
          <w:rFonts w:ascii="Arial" w:hAnsi="Arial" w:cs="Arial"/>
          <w:sz w:val="24"/>
          <w:szCs w:val="24"/>
          <w:lang w:eastAsia="pl-PL"/>
        </w:rPr>
        <w:t>;</w:t>
      </w:r>
    </w:p>
    <w:p w:rsidR="007471AE" w:rsidRPr="00E834CA" w:rsidRDefault="00BB28BB" w:rsidP="00E834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4011C">
        <w:rPr>
          <w:rFonts w:ascii="Arial" w:hAnsi="Arial" w:cs="Arial"/>
          <w:sz w:val="24"/>
          <w:szCs w:val="24"/>
          <w:lang w:eastAsia="pl-PL"/>
        </w:rPr>
        <w:t>Ustawa z dnia 21 sierpnia 1997 r. o gospodarce nierucho</w:t>
      </w:r>
      <w:r w:rsidR="00A8595C">
        <w:rPr>
          <w:rFonts w:ascii="Arial" w:hAnsi="Arial" w:cs="Arial"/>
          <w:sz w:val="24"/>
          <w:szCs w:val="24"/>
          <w:lang w:eastAsia="pl-PL"/>
        </w:rPr>
        <w:t>mościami (t. j.: Dz. U. 2016</w:t>
      </w:r>
      <w:r w:rsidR="00E834CA">
        <w:rPr>
          <w:rFonts w:ascii="Arial" w:hAnsi="Arial" w:cs="Arial"/>
          <w:sz w:val="24"/>
          <w:szCs w:val="24"/>
          <w:lang w:eastAsia="pl-PL"/>
        </w:rPr>
        <w:t xml:space="preserve">, poz. </w:t>
      </w:r>
      <w:r w:rsidR="00A8595C">
        <w:rPr>
          <w:rFonts w:ascii="Arial" w:hAnsi="Arial" w:cs="Arial"/>
          <w:sz w:val="24"/>
          <w:szCs w:val="24"/>
          <w:lang w:eastAsia="pl-PL"/>
        </w:rPr>
        <w:t>2147</w:t>
      </w:r>
      <w:r w:rsidR="00E834CA">
        <w:rPr>
          <w:rFonts w:ascii="Arial" w:hAnsi="Arial" w:cs="Arial"/>
          <w:sz w:val="24"/>
          <w:szCs w:val="24"/>
          <w:lang w:eastAsia="pl-PL"/>
        </w:rPr>
        <w:t xml:space="preserve"> ze</w:t>
      </w:r>
      <w:r w:rsidRPr="0084011C">
        <w:rPr>
          <w:rFonts w:ascii="Arial" w:hAnsi="Arial" w:cs="Arial"/>
          <w:sz w:val="24"/>
          <w:szCs w:val="24"/>
          <w:lang w:eastAsia="pl-PL"/>
        </w:rPr>
        <w:t xml:space="preserve"> zm.)</w:t>
      </w:r>
      <w:r>
        <w:rPr>
          <w:rFonts w:ascii="Arial" w:hAnsi="Arial" w:cs="Arial"/>
          <w:sz w:val="24"/>
          <w:szCs w:val="24"/>
          <w:lang w:eastAsia="pl-PL"/>
        </w:rPr>
        <w:t>;</w:t>
      </w:r>
    </w:p>
    <w:p w:rsidR="00172129" w:rsidRDefault="007471AE" w:rsidP="0017212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71AE">
        <w:rPr>
          <w:rFonts w:ascii="Arial" w:hAnsi="Arial" w:cs="Arial"/>
          <w:sz w:val="24"/>
          <w:szCs w:val="24"/>
          <w:lang w:eastAsia="pl-PL"/>
        </w:rPr>
        <w:t>Ustawa z dnia 16 lutego 2007 r. o ochronie konkurencji i konsumentów (</w:t>
      </w:r>
      <w:proofErr w:type="spellStart"/>
      <w:r w:rsidR="0074181B">
        <w:rPr>
          <w:rFonts w:ascii="Arial" w:hAnsi="Arial" w:cs="Arial"/>
          <w:sz w:val="24"/>
          <w:szCs w:val="24"/>
          <w:lang w:eastAsia="pl-PL"/>
        </w:rPr>
        <w:t>t.j</w:t>
      </w:r>
      <w:proofErr w:type="spellEnd"/>
      <w:r w:rsidR="0074181B">
        <w:rPr>
          <w:rFonts w:ascii="Arial" w:hAnsi="Arial" w:cs="Arial"/>
          <w:sz w:val="24"/>
          <w:szCs w:val="24"/>
          <w:lang w:eastAsia="pl-PL"/>
        </w:rPr>
        <w:t xml:space="preserve">. </w:t>
      </w:r>
      <w:r w:rsidRPr="007471AE">
        <w:rPr>
          <w:rFonts w:ascii="Arial" w:hAnsi="Arial" w:cs="Arial"/>
          <w:sz w:val="24"/>
          <w:szCs w:val="24"/>
          <w:lang w:eastAsia="pl-PL"/>
        </w:rPr>
        <w:t xml:space="preserve">Dz. U. </w:t>
      </w:r>
      <w:r w:rsidR="005771BC">
        <w:rPr>
          <w:rFonts w:ascii="Arial" w:hAnsi="Arial" w:cs="Arial"/>
          <w:sz w:val="24"/>
          <w:szCs w:val="24"/>
          <w:lang w:eastAsia="pl-PL"/>
        </w:rPr>
        <w:t>2017</w:t>
      </w:r>
      <w:r w:rsidRPr="007471AE">
        <w:rPr>
          <w:rFonts w:ascii="Arial" w:hAnsi="Arial" w:cs="Arial"/>
          <w:sz w:val="24"/>
          <w:szCs w:val="24"/>
          <w:lang w:eastAsia="pl-PL"/>
        </w:rPr>
        <w:t xml:space="preserve">, poz. </w:t>
      </w:r>
      <w:r w:rsidR="005771BC">
        <w:rPr>
          <w:rFonts w:ascii="Arial" w:hAnsi="Arial" w:cs="Arial"/>
          <w:sz w:val="24"/>
          <w:szCs w:val="24"/>
          <w:lang w:eastAsia="pl-PL"/>
        </w:rPr>
        <w:t>229</w:t>
      </w:r>
      <w:r w:rsidRPr="007471AE">
        <w:rPr>
          <w:rFonts w:ascii="Arial" w:hAnsi="Arial" w:cs="Arial"/>
          <w:sz w:val="24"/>
          <w:szCs w:val="24"/>
          <w:lang w:eastAsia="pl-PL"/>
        </w:rPr>
        <w:t>, ze zm.)</w:t>
      </w:r>
    </w:p>
    <w:p w:rsidR="007471AE" w:rsidRPr="00172129" w:rsidRDefault="007471AE" w:rsidP="0017212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72129">
        <w:rPr>
          <w:rFonts w:ascii="Arial" w:hAnsi="Arial" w:cs="Arial"/>
          <w:sz w:val="24"/>
          <w:szCs w:val="24"/>
          <w:lang w:eastAsia="pl-PL"/>
        </w:rPr>
        <w:t>Ustawa z dnia 23 sierpnia 2007 r. o przeciwdziałaniu nieuczciwym praktykom rynkowym (</w:t>
      </w:r>
      <w:proofErr w:type="spellStart"/>
      <w:r w:rsidR="005771BC" w:rsidRPr="00172129">
        <w:rPr>
          <w:rFonts w:ascii="Arial" w:hAnsi="Arial" w:cs="Arial"/>
          <w:sz w:val="24"/>
          <w:szCs w:val="24"/>
          <w:lang w:eastAsia="pl-PL"/>
        </w:rPr>
        <w:t>t.j</w:t>
      </w:r>
      <w:proofErr w:type="spellEnd"/>
      <w:r w:rsidR="005771BC" w:rsidRPr="00172129">
        <w:rPr>
          <w:rFonts w:ascii="Arial" w:hAnsi="Arial" w:cs="Arial"/>
          <w:sz w:val="24"/>
          <w:szCs w:val="24"/>
          <w:lang w:eastAsia="pl-PL"/>
        </w:rPr>
        <w:t xml:space="preserve">. </w:t>
      </w:r>
      <w:r w:rsidRPr="00172129">
        <w:rPr>
          <w:rFonts w:ascii="Arial" w:hAnsi="Arial" w:cs="Arial"/>
          <w:sz w:val="24"/>
          <w:szCs w:val="24"/>
          <w:lang w:eastAsia="pl-PL"/>
        </w:rPr>
        <w:t xml:space="preserve">Dz. U. </w:t>
      </w:r>
      <w:r w:rsidR="0074181B" w:rsidRPr="00172129">
        <w:rPr>
          <w:rFonts w:ascii="Arial" w:hAnsi="Arial" w:cs="Arial"/>
          <w:sz w:val="24"/>
          <w:szCs w:val="24"/>
          <w:lang w:eastAsia="pl-PL"/>
        </w:rPr>
        <w:t>2016</w:t>
      </w:r>
      <w:r w:rsidRPr="00172129">
        <w:rPr>
          <w:rFonts w:ascii="Arial" w:hAnsi="Arial" w:cs="Arial"/>
          <w:sz w:val="24"/>
          <w:szCs w:val="24"/>
          <w:lang w:eastAsia="pl-PL"/>
        </w:rPr>
        <w:t xml:space="preserve">, poz. </w:t>
      </w:r>
      <w:r w:rsidR="0074181B" w:rsidRPr="00172129">
        <w:rPr>
          <w:rFonts w:ascii="Arial" w:hAnsi="Arial" w:cs="Arial"/>
          <w:sz w:val="24"/>
          <w:szCs w:val="24"/>
          <w:lang w:eastAsia="pl-PL"/>
        </w:rPr>
        <w:t>3</w:t>
      </w:r>
      <w:r w:rsidR="00D961C6" w:rsidRPr="00172129">
        <w:rPr>
          <w:rFonts w:ascii="Arial" w:hAnsi="Arial" w:cs="Arial"/>
          <w:sz w:val="24"/>
          <w:szCs w:val="24"/>
          <w:lang w:eastAsia="pl-PL"/>
        </w:rPr>
        <w:t xml:space="preserve"> ze zm.</w:t>
      </w:r>
      <w:r w:rsidRPr="00172129">
        <w:rPr>
          <w:rFonts w:ascii="A" w:hAnsi="A" w:cs="A"/>
          <w:sz w:val="20"/>
          <w:szCs w:val="20"/>
          <w:lang w:eastAsia="pl-PL"/>
        </w:rPr>
        <w:t>)</w:t>
      </w:r>
    </w:p>
    <w:p w:rsidR="00E834CA" w:rsidRPr="00170AFA" w:rsidRDefault="00E834CA" w:rsidP="00170AFA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EB5455" w:rsidRPr="009E69C6" w:rsidRDefault="00EB5455" w:rsidP="00BB28BB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  <w:lang w:eastAsia="pl-PL"/>
        </w:rPr>
      </w:pPr>
    </w:p>
    <w:p w:rsidR="00EB5455" w:rsidRPr="00313884" w:rsidRDefault="00313884" w:rsidP="00313884">
      <w:pPr>
        <w:spacing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Wybór literatury</w:t>
      </w:r>
    </w:p>
    <w:p w:rsidR="004C315D" w:rsidRDefault="004C315D" w:rsidP="004C3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72B8">
        <w:rPr>
          <w:rFonts w:ascii="Arial" w:hAnsi="Arial" w:cs="Arial"/>
          <w:sz w:val="24"/>
          <w:szCs w:val="24"/>
        </w:rPr>
        <w:t>R. Strugała</w:t>
      </w:r>
      <w:r>
        <w:rPr>
          <w:rFonts w:ascii="Arial" w:hAnsi="Arial" w:cs="Arial"/>
          <w:sz w:val="24"/>
          <w:szCs w:val="24"/>
        </w:rPr>
        <w:t xml:space="preserve"> (red.)</w:t>
      </w:r>
      <w:r w:rsidRPr="008772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8772B8">
        <w:rPr>
          <w:rFonts w:ascii="Arial" w:eastAsia="Times New Roman" w:hAnsi="Arial" w:cs="Arial"/>
          <w:sz w:val="24"/>
          <w:szCs w:val="24"/>
        </w:rPr>
        <w:t>Wykładnia umów. Standardowe klauzule umowne. Komentarz praktyczny z przeglądem orzecznictwa. Wzory umów</w:t>
      </w:r>
      <w:r w:rsidRPr="008772B8">
        <w:rPr>
          <w:rFonts w:ascii="Arial" w:hAnsi="Arial" w:cs="Arial"/>
          <w:sz w:val="24"/>
          <w:szCs w:val="24"/>
        </w:rPr>
        <w:t>, Warszawa 2016</w:t>
      </w:r>
    </w:p>
    <w:p w:rsidR="00313884" w:rsidRDefault="004C315D" w:rsidP="00EB5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 Zoll,</w:t>
      </w:r>
      <w:r w:rsidRPr="00EE79AB">
        <w:rPr>
          <w:rFonts w:ascii="Arial" w:hAnsi="Arial" w:cs="Arial"/>
          <w:sz w:val="24"/>
          <w:szCs w:val="24"/>
        </w:rPr>
        <w:t xml:space="preserve"> Rękojmia. Odpowiedzialność sprzedawcy i przyjmującego zamówienie w świetle znowelizowanych przepisów Kodeksu cywilnego, Wydanie 1, Warszawa 2016</w:t>
      </w:r>
    </w:p>
    <w:p w:rsidR="00C174B3" w:rsidRPr="00313884" w:rsidRDefault="00313884" w:rsidP="00EB5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313884">
        <w:rPr>
          <w:rFonts w:ascii="Arial" w:hAnsi="Arial" w:cs="Arial"/>
          <w:sz w:val="24"/>
          <w:szCs w:val="24"/>
          <w:lang w:eastAsia="pl-PL"/>
        </w:rPr>
        <w:t xml:space="preserve">W. </w:t>
      </w:r>
      <w:proofErr w:type="spellStart"/>
      <w:r w:rsidRPr="00313884">
        <w:rPr>
          <w:rFonts w:ascii="Arial" w:hAnsi="Arial" w:cs="Arial"/>
          <w:sz w:val="24"/>
          <w:szCs w:val="24"/>
          <w:lang w:eastAsia="pl-PL"/>
        </w:rPr>
        <w:t>Katner</w:t>
      </w:r>
      <w:proofErr w:type="spellEnd"/>
      <w:r w:rsidR="00EB5455" w:rsidRPr="00313884"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313884">
        <w:rPr>
          <w:rFonts w:ascii="Arial" w:hAnsi="Arial" w:cs="Arial"/>
          <w:sz w:val="24"/>
          <w:szCs w:val="24"/>
          <w:lang w:eastAsia="pl-PL"/>
        </w:rPr>
        <w:t>Sprzedaż</w:t>
      </w:r>
      <w:r w:rsidR="00EB5455" w:rsidRPr="00313884">
        <w:rPr>
          <w:rFonts w:ascii="Arial" w:hAnsi="Arial" w:cs="Arial"/>
          <w:sz w:val="24"/>
          <w:szCs w:val="24"/>
          <w:lang w:eastAsia="pl-PL"/>
        </w:rPr>
        <w:t xml:space="preserve"> [w:] System prawa prywatnego, tom 7, Prawo</w:t>
      </w:r>
      <w:r w:rsidRPr="0031388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B5455" w:rsidRPr="00313884">
        <w:rPr>
          <w:rFonts w:ascii="Arial" w:hAnsi="Arial" w:cs="Arial"/>
          <w:sz w:val="24"/>
          <w:szCs w:val="24"/>
          <w:lang w:eastAsia="pl-PL"/>
        </w:rPr>
        <w:t>zobowi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="00EB5455" w:rsidRPr="00313884">
        <w:rPr>
          <w:rFonts w:ascii="Arial" w:hAnsi="Arial" w:cs="Arial"/>
          <w:sz w:val="24"/>
          <w:szCs w:val="24"/>
          <w:lang w:eastAsia="pl-PL"/>
        </w:rPr>
        <w:t>za</w:t>
      </w:r>
      <w:r>
        <w:rPr>
          <w:rFonts w:ascii="Arial" w:hAnsi="Arial" w:cs="Arial"/>
          <w:sz w:val="24"/>
          <w:szCs w:val="24"/>
          <w:lang w:eastAsia="pl-PL"/>
        </w:rPr>
        <w:t>ń</w:t>
      </w:r>
      <w:r w:rsidR="00EB5455" w:rsidRPr="00313884">
        <w:rPr>
          <w:rFonts w:ascii="Arial" w:hAnsi="Arial" w:cs="Arial"/>
          <w:sz w:val="24"/>
          <w:szCs w:val="24"/>
          <w:lang w:eastAsia="pl-PL"/>
        </w:rPr>
        <w:t xml:space="preserve"> – cz</w:t>
      </w:r>
      <w:r>
        <w:rPr>
          <w:rFonts w:ascii="Arial" w:hAnsi="Arial" w:cs="Arial"/>
          <w:sz w:val="24"/>
          <w:szCs w:val="24"/>
          <w:lang w:eastAsia="pl-PL"/>
        </w:rPr>
        <w:t>ęść</w:t>
      </w:r>
      <w:r w:rsidR="00EB5455" w:rsidRPr="00313884">
        <w:rPr>
          <w:rFonts w:ascii="Arial" w:hAnsi="Arial" w:cs="Arial"/>
          <w:sz w:val="24"/>
          <w:szCs w:val="24"/>
          <w:lang w:eastAsia="pl-PL"/>
        </w:rPr>
        <w:t xml:space="preserve"> szczegółowa, red. J. Rajski, Warszawa 201</w:t>
      </w:r>
      <w:r>
        <w:rPr>
          <w:rFonts w:ascii="Arial" w:hAnsi="Arial" w:cs="Arial"/>
          <w:sz w:val="24"/>
          <w:szCs w:val="24"/>
          <w:lang w:eastAsia="pl-PL"/>
        </w:rPr>
        <w:t>1</w:t>
      </w:r>
    </w:p>
    <w:p w:rsidR="00EB5455" w:rsidRDefault="00EB5455" w:rsidP="00EB5455">
      <w:pPr>
        <w:spacing w:after="6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13884">
        <w:rPr>
          <w:rFonts w:ascii="Arial" w:hAnsi="Arial" w:cs="Arial"/>
          <w:sz w:val="24"/>
          <w:szCs w:val="24"/>
          <w:lang w:eastAsia="pl-PL"/>
        </w:rPr>
        <w:t xml:space="preserve">Komentarze do </w:t>
      </w:r>
      <w:smartTag w:uri="lexAThandschemas/lexAThand" w:element="lexATakty">
        <w:smartTagPr>
          <w:attr w:name="DocIDENT" w:val="Dz.U.1964.16.93"/>
          <w:attr w:name="DOCTYPE" w:val="akt"/>
        </w:smartTagPr>
        <w:r w:rsidRPr="00313884">
          <w:rPr>
            <w:rFonts w:ascii="Arial" w:hAnsi="Arial" w:cs="Arial"/>
            <w:sz w:val="24"/>
            <w:szCs w:val="24"/>
            <w:lang w:eastAsia="pl-PL"/>
          </w:rPr>
          <w:t>kodeksu cywilnego</w:t>
        </w:r>
      </w:smartTag>
      <w:r w:rsidRPr="00313884">
        <w:rPr>
          <w:rFonts w:ascii="Arial" w:hAnsi="Arial" w:cs="Arial"/>
          <w:sz w:val="24"/>
          <w:szCs w:val="24"/>
          <w:lang w:eastAsia="pl-PL"/>
        </w:rPr>
        <w:t>, w szczególno</w:t>
      </w:r>
      <w:r w:rsidR="00313884">
        <w:rPr>
          <w:rFonts w:ascii="Arial" w:hAnsi="Arial" w:cs="Arial"/>
          <w:sz w:val="24"/>
          <w:szCs w:val="24"/>
          <w:lang w:eastAsia="pl-PL"/>
        </w:rPr>
        <w:t>ś</w:t>
      </w:r>
      <w:r w:rsidRPr="00313884">
        <w:rPr>
          <w:rFonts w:ascii="Arial" w:hAnsi="Arial" w:cs="Arial"/>
          <w:sz w:val="24"/>
          <w:szCs w:val="24"/>
          <w:lang w:eastAsia="pl-PL"/>
        </w:rPr>
        <w:t xml:space="preserve">ci do art. </w:t>
      </w:r>
      <w:r w:rsidR="00313884">
        <w:rPr>
          <w:rFonts w:ascii="Arial" w:hAnsi="Arial" w:cs="Arial"/>
          <w:sz w:val="24"/>
          <w:szCs w:val="24"/>
          <w:lang w:eastAsia="pl-PL"/>
        </w:rPr>
        <w:t>535</w:t>
      </w:r>
      <w:r w:rsidRPr="00313884">
        <w:rPr>
          <w:rFonts w:ascii="Arial" w:hAnsi="Arial" w:cs="Arial"/>
          <w:sz w:val="24"/>
          <w:szCs w:val="24"/>
          <w:lang w:eastAsia="pl-PL"/>
        </w:rPr>
        <w:t xml:space="preserve"> i nast. k.c.</w:t>
      </w:r>
    </w:p>
    <w:p w:rsidR="00E76DDE" w:rsidRDefault="00E76DDE" w:rsidP="00E76DDE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  <w:lang w:eastAsia="pl-PL"/>
        </w:rPr>
      </w:pPr>
    </w:p>
    <w:p w:rsidR="00707A1F" w:rsidRDefault="00707A1F" w:rsidP="00E76DDE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  <w:lang w:eastAsia="pl-PL"/>
        </w:rPr>
      </w:pPr>
    </w:p>
    <w:p w:rsidR="00707A1F" w:rsidRPr="009E69C6" w:rsidRDefault="00707A1F" w:rsidP="00E76DDE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  <w:lang w:eastAsia="pl-PL"/>
        </w:rPr>
      </w:pPr>
    </w:p>
    <w:p w:rsidR="00E76DDE" w:rsidRPr="00313884" w:rsidRDefault="00E76DDE" w:rsidP="00E76DDE">
      <w:pPr>
        <w:spacing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Wybrane orzeczenia:</w:t>
      </w:r>
    </w:p>
    <w:p w:rsidR="00E76DDE" w:rsidRDefault="00E76DDE" w:rsidP="00EB3364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7A1F" w:rsidRDefault="00707A1F" w:rsidP="00EB3364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3973" w:rsidRDefault="00403973" w:rsidP="00E76DDE">
      <w:pPr>
        <w:spacing w:line="240" w:lineRule="auto"/>
        <w:ind w:left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Uchwała Sądu Najwyższego z dnia 7 stycznia 1967 r., sygn. III CZP 32/66</w:t>
      </w:r>
    </w:p>
    <w:p w:rsidR="00403973" w:rsidRDefault="00403973" w:rsidP="00E76DDE">
      <w:pPr>
        <w:spacing w:line="240" w:lineRule="auto"/>
        <w:ind w:left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Wyrok Sądu Najwyższego z dnia 2 kwietnia 2004 r., sygn. III CK 417/02</w:t>
      </w:r>
    </w:p>
    <w:p w:rsidR="00403973" w:rsidRDefault="00403973" w:rsidP="00E76DDE">
      <w:pPr>
        <w:spacing w:line="240" w:lineRule="auto"/>
        <w:ind w:left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Wyrok Sądu Najwyższego z dnia 25 czerwca 2008 r., sygn. III CSK 20/08</w:t>
      </w:r>
    </w:p>
    <w:p w:rsidR="00403973" w:rsidRDefault="00403973" w:rsidP="00E76DDE">
      <w:pPr>
        <w:spacing w:line="240" w:lineRule="auto"/>
        <w:ind w:left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Wyrok Sądu Najwyższego z dnia 11 marca 2010 r., IV CSK 418/09</w:t>
      </w:r>
    </w:p>
    <w:p w:rsidR="00403973" w:rsidRDefault="00403973" w:rsidP="00403973">
      <w:pPr>
        <w:spacing w:line="240" w:lineRule="auto"/>
        <w:ind w:left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Wyrok Sądu Najwyższego z dnia 5 grudnia 2006 r., sygn.. II CSK 274/06</w:t>
      </w:r>
    </w:p>
    <w:p w:rsidR="003311EE" w:rsidRDefault="00CC5E31" w:rsidP="00E76DDE">
      <w:pPr>
        <w:spacing w:line="240" w:lineRule="auto"/>
        <w:ind w:left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Uchwał</w:t>
      </w:r>
      <w:r w:rsidR="003311EE">
        <w:rPr>
          <w:rFonts w:ascii="Arial" w:hAnsi="Arial" w:cs="Arial"/>
          <w:bCs/>
          <w:sz w:val="24"/>
          <w:szCs w:val="24"/>
        </w:rPr>
        <w:t xml:space="preserve">a </w:t>
      </w:r>
      <w:r w:rsidR="003311EE" w:rsidRPr="000B1C9C">
        <w:rPr>
          <w:rFonts w:ascii="Arial" w:hAnsi="Arial" w:cs="Arial"/>
          <w:sz w:val="24"/>
          <w:szCs w:val="24"/>
        </w:rPr>
        <w:t>Sądu Najwyższego</w:t>
      </w:r>
      <w:r w:rsidR="003311EE">
        <w:rPr>
          <w:rFonts w:ascii="Arial" w:hAnsi="Arial" w:cs="Arial"/>
          <w:sz w:val="24"/>
          <w:szCs w:val="24"/>
        </w:rPr>
        <w:t xml:space="preserve"> z dnia 5 maja 1993 r.</w:t>
      </w:r>
      <w:r>
        <w:rPr>
          <w:rFonts w:ascii="Arial" w:hAnsi="Arial" w:cs="Arial"/>
          <w:sz w:val="24"/>
          <w:szCs w:val="24"/>
        </w:rPr>
        <w:t>,</w:t>
      </w:r>
      <w:r w:rsidR="003311EE">
        <w:rPr>
          <w:rFonts w:ascii="Arial" w:hAnsi="Arial" w:cs="Arial"/>
          <w:sz w:val="24"/>
          <w:szCs w:val="24"/>
        </w:rPr>
        <w:t xml:space="preserve"> sygn. III CZP 54/93</w:t>
      </w:r>
    </w:p>
    <w:p w:rsidR="003311EE" w:rsidRDefault="00CC5E31" w:rsidP="00E76DDE">
      <w:pPr>
        <w:spacing w:line="240" w:lineRule="auto"/>
        <w:ind w:left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Uchwała </w:t>
      </w:r>
      <w:r w:rsidRPr="000B1C9C">
        <w:rPr>
          <w:rFonts w:ascii="Arial" w:hAnsi="Arial" w:cs="Arial"/>
          <w:sz w:val="24"/>
          <w:szCs w:val="24"/>
        </w:rPr>
        <w:t>Sądu Najwyższego</w:t>
      </w:r>
      <w:r>
        <w:rPr>
          <w:rFonts w:ascii="Arial" w:hAnsi="Arial" w:cs="Arial"/>
          <w:sz w:val="24"/>
          <w:szCs w:val="24"/>
        </w:rPr>
        <w:t xml:space="preserve"> z dnia</w:t>
      </w:r>
      <w:r w:rsidR="003311EE">
        <w:rPr>
          <w:rFonts w:ascii="Arial" w:hAnsi="Arial" w:cs="Arial"/>
          <w:sz w:val="24"/>
          <w:szCs w:val="24"/>
        </w:rPr>
        <w:t xml:space="preserve"> 24 października 2001 r.</w:t>
      </w:r>
      <w:r>
        <w:rPr>
          <w:rFonts w:ascii="Arial" w:hAnsi="Arial" w:cs="Arial"/>
          <w:sz w:val="24"/>
          <w:szCs w:val="24"/>
        </w:rPr>
        <w:t>, sygn. III CZP 58/01</w:t>
      </w:r>
    </w:p>
    <w:p w:rsidR="00CC5E31" w:rsidRDefault="00CC5E31" w:rsidP="00E76DDE">
      <w:pPr>
        <w:spacing w:line="240" w:lineRule="auto"/>
        <w:ind w:left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Wyrok Sądu Najwyższego z dnia 13 maja 2011 r., sygn. V CSK 360/10</w:t>
      </w:r>
    </w:p>
    <w:p w:rsidR="00CC5E31" w:rsidRDefault="00CC5E31" w:rsidP="00403973">
      <w:pPr>
        <w:spacing w:line="240" w:lineRule="auto"/>
        <w:ind w:left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Wyrok Sądu Najwyższego z 28 października 2010 r., </w:t>
      </w:r>
      <w:r w:rsidR="00403973">
        <w:rPr>
          <w:rFonts w:ascii="Arial" w:hAnsi="Arial" w:cs="Arial"/>
          <w:bCs/>
          <w:sz w:val="24"/>
          <w:szCs w:val="24"/>
        </w:rPr>
        <w:t>II CSK 218/10</w:t>
      </w:r>
    </w:p>
    <w:p w:rsidR="00E76DDE" w:rsidRPr="00727A3E" w:rsidRDefault="00E76DDE" w:rsidP="00E76DDE">
      <w:pPr>
        <w:spacing w:line="240" w:lineRule="auto"/>
        <w:ind w:left="100"/>
        <w:jc w:val="both"/>
        <w:rPr>
          <w:rFonts w:ascii="Arial" w:hAnsi="Arial" w:cs="Arial"/>
          <w:i/>
          <w:iCs/>
          <w:sz w:val="24"/>
          <w:szCs w:val="24"/>
        </w:rPr>
      </w:pPr>
      <w:r w:rsidRPr="000B1C9C">
        <w:rPr>
          <w:rFonts w:ascii="Arial" w:hAnsi="Arial" w:cs="Arial"/>
          <w:bCs/>
          <w:sz w:val="24"/>
          <w:szCs w:val="24"/>
        </w:rPr>
        <w:t>Wyrok</w:t>
      </w:r>
      <w:r w:rsidRPr="00727A3E">
        <w:rPr>
          <w:rFonts w:ascii="Arial" w:hAnsi="Arial" w:cs="Arial"/>
          <w:sz w:val="24"/>
          <w:szCs w:val="24"/>
        </w:rPr>
        <w:t xml:space="preserve"> </w:t>
      </w:r>
      <w:r w:rsidRPr="000B1C9C">
        <w:rPr>
          <w:rFonts w:ascii="Arial" w:hAnsi="Arial" w:cs="Arial"/>
          <w:sz w:val="24"/>
          <w:szCs w:val="24"/>
        </w:rPr>
        <w:t>Sądu Najwyższego</w:t>
      </w:r>
      <w:r w:rsidRPr="00727A3E">
        <w:rPr>
          <w:rFonts w:ascii="Arial" w:hAnsi="Arial" w:cs="Arial"/>
          <w:sz w:val="24"/>
          <w:szCs w:val="24"/>
        </w:rPr>
        <w:t xml:space="preserve"> </w:t>
      </w:r>
      <w:r w:rsidRPr="000B1C9C">
        <w:rPr>
          <w:rFonts w:ascii="Arial" w:hAnsi="Arial" w:cs="Arial"/>
          <w:sz w:val="24"/>
          <w:szCs w:val="24"/>
        </w:rPr>
        <w:t>z dnia 14 maja 2002 r.</w:t>
      </w:r>
      <w:r w:rsidRPr="00727A3E">
        <w:rPr>
          <w:rFonts w:ascii="Arial" w:hAnsi="Arial" w:cs="Arial"/>
          <w:sz w:val="24"/>
          <w:szCs w:val="24"/>
        </w:rPr>
        <w:t xml:space="preserve">, sygn. </w:t>
      </w:r>
      <w:smartTag w:uri="lexAThandschemas/lexAThand" w:element="lexATorzeczenia">
        <w:smartTagPr>
          <w:attr w:name="WydIDENT" w:val="V CKN"/>
          <w:attr w:name="DocIDENT" w:val="V CKN 857/00"/>
          <w:attr w:name="DOCTYPE" w:val="orzeczenie"/>
        </w:smartTagPr>
        <w:r w:rsidRPr="000B1C9C">
          <w:rPr>
            <w:rFonts w:ascii="Arial" w:hAnsi="Arial" w:cs="Arial"/>
            <w:bCs/>
            <w:sz w:val="24"/>
            <w:szCs w:val="24"/>
          </w:rPr>
          <w:t xml:space="preserve">V CKN </w:t>
        </w:r>
        <w:smartTag w:uri="lexAThandschemas/lexAThand" w:element="lexATorzeczenia">
          <w:smartTagPr>
            <w:attr w:name="DocIDENT" w:val="857/00"/>
            <w:attr w:name="DOCTYPE" w:val="orzeczenie"/>
          </w:smartTagPr>
          <w:r w:rsidRPr="000B1C9C">
            <w:rPr>
              <w:rFonts w:ascii="Arial" w:hAnsi="Arial" w:cs="Arial"/>
              <w:bCs/>
              <w:sz w:val="24"/>
              <w:szCs w:val="24"/>
            </w:rPr>
            <w:t>857/00</w:t>
          </w:r>
        </w:smartTag>
      </w:smartTag>
      <w:r w:rsidRPr="00727A3E">
        <w:rPr>
          <w:rFonts w:ascii="Arial" w:hAnsi="Arial" w:cs="Arial"/>
          <w:bCs/>
          <w:sz w:val="24"/>
          <w:szCs w:val="24"/>
        </w:rPr>
        <w:t xml:space="preserve">; </w:t>
      </w:r>
    </w:p>
    <w:p w:rsidR="00E76DDE" w:rsidRPr="000B1C9C" w:rsidRDefault="00E76DDE" w:rsidP="00E76DDE">
      <w:pPr>
        <w:spacing w:line="240" w:lineRule="auto"/>
        <w:ind w:left="100"/>
        <w:jc w:val="both"/>
        <w:rPr>
          <w:rFonts w:ascii="Arial" w:hAnsi="Arial" w:cs="Arial"/>
          <w:i/>
          <w:iCs/>
          <w:sz w:val="24"/>
          <w:szCs w:val="24"/>
        </w:rPr>
      </w:pPr>
      <w:r w:rsidRPr="000B1C9C">
        <w:rPr>
          <w:rFonts w:ascii="Arial" w:hAnsi="Arial" w:cs="Arial"/>
          <w:bCs/>
          <w:sz w:val="24"/>
          <w:szCs w:val="24"/>
        </w:rPr>
        <w:t>Wyrok</w:t>
      </w:r>
      <w:r w:rsidRPr="00727A3E">
        <w:rPr>
          <w:rFonts w:ascii="Arial" w:hAnsi="Arial" w:cs="Arial"/>
          <w:sz w:val="24"/>
          <w:szCs w:val="24"/>
        </w:rPr>
        <w:t xml:space="preserve"> </w:t>
      </w:r>
      <w:r w:rsidRPr="000B1C9C">
        <w:rPr>
          <w:rFonts w:ascii="Arial" w:hAnsi="Arial" w:cs="Arial"/>
          <w:sz w:val="24"/>
          <w:szCs w:val="24"/>
        </w:rPr>
        <w:t>Sądu Najwyższego</w:t>
      </w:r>
      <w:r w:rsidRPr="00727A3E">
        <w:rPr>
          <w:rFonts w:ascii="Arial" w:hAnsi="Arial" w:cs="Arial"/>
          <w:sz w:val="24"/>
          <w:szCs w:val="24"/>
        </w:rPr>
        <w:t xml:space="preserve"> </w:t>
      </w:r>
      <w:r w:rsidRPr="000B1C9C">
        <w:rPr>
          <w:rFonts w:ascii="Arial" w:hAnsi="Arial" w:cs="Arial"/>
          <w:sz w:val="24"/>
          <w:szCs w:val="24"/>
        </w:rPr>
        <w:t>z dnia 24 lipca 2008 r.</w:t>
      </w:r>
      <w:r w:rsidRPr="00727A3E">
        <w:rPr>
          <w:rFonts w:ascii="Arial" w:hAnsi="Arial" w:cs="Arial"/>
          <w:sz w:val="24"/>
          <w:szCs w:val="24"/>
        </w:rPr>
        <w:t xml:space="preserve">, sygn. </w:t>
      </w:r>
      <w:smartTag w:uri="lexAThandschemas/lexAThand" w:element="lexATorzeczenia">
        <w:smartTagPr>
          <w:attr w:name="WydIDENT" w:val="IV CSK"/>
          <w:attr w:name="DocIDENT" w:val="IV CSK 87/08"/>
          <w:attr w:name="DOCTYPE" w:val="orzeczenie"/>
        </w:smartTagPr>
        <w:r w:rsidRPr="000B1C9C">
          <w:rPr>
            <w:rFonts w:ascii="Arial" w:hAnsi="Arial" w:cs="Arial"/>
            <w:bCs/>
            <w:sz w:val="24"/>
            <w:szCs w:val="24"/>
          </w:rPr>
          <w:t xml:space="preserve">IV CSK </w:t>
        </w:r>
        <w:smartTag w:uri="lexAThandschemas/lexAThand" w:element="lexATorzeczenia">
          <w:smartTagPr>
            <w:attr w:name="DocIDENT" w:val="87/08"/>
            <w:attr w:name="DOCTYPE" w:val="orzeczenie"/>
          </w:smartTagPr>
          <w:r w:rsidRPr="000B1C9C">
            <w:rPr>
              <w:rFonts w:ascii="Arial" w:hAnsi="Arial" w:cs="Arial"/>
              <w:bCs/>
              <w:sz w:val="24"/>
              <w:szCs w:val="24"/>
            </w:rPr>
            <w:t>87/08</w:t>
          </w:r>
        </w:smartTag>
      </w:smartTag>
      <w:r w:rsidRPr="00727A3E">
        <w:rPr>
          <w:rFonts w:ascii="Arial" w:hAnsi="Arial" w:cs="Arial"/>
          <w:sz w:val="24"/>
          <w:szCs w:val="24"/>
        </w:rPr>
        <w:t xml:space="preserve">; </w:t>
      </w:r>
    </w:p>
    <w:p w:rsidR="00E76DDE" w:rsidRPr="00727A3E" w:rsidRDefault="00E76DDE" w:rsidP="00E76DDE">
      <w:pPr>
        <w:spacing w:line="240" w:lineRule="auto"/>
        <w:ind w:left="100"/>
        <w:jc w:val="both"/>
        <w:rPr>
          <w:rFonts w:ascii="Arial" w:hAnsi="Arial" w:cs="Arial"/>
          <w:bCs/>
          <w:sz w:val="24"/>
          <w:szCs w:val="24"/>
        </w:rPr>
      </w:pPr>
      <w:r w:rsidRPr="00231AB5">
        <w:rPr>
          <w:rFonts w:ascii="Arial" w:hAnsi="Arial" w:cs="Arial"/>
          <w:bCs/>
          <w:sz w:val="24"/>
          <w:szCs w:val="24"/>
        </w:rPr>
        <w:t>Wyrok</w:t>
      </w:r>
      <w:r w:rsidRPr="00727A3E">
        <w:rPr>
          <w:rFonts w:ascii="Arial" w:hAnsi="Arial" w:cs="Arial"/>
          <w:sz w:val="24"/>
          <w:szCs w:val="24"/>
        </w:rPr>
        <w:t xml:space="preserve"> </w:t>
      </w:r>
      <w:r w:rsidRPr="00231AB5">
        <w:rPr>
          <w:rFonts w:ascii="Arial" w:hAnsi="Arial" w:cs="Arial"/>
          <w:sz w:val="24"/>
          <w:szCs w:val="24"/>
        </w:rPr>
        <w:t>Sądu Najwyższego</w:t>
      </w:r>
      <w:r w:rsidRPr="00727A3E">
        <w:rPr>
          <w:rFonts w:ascii="Arial" w:hAnsi="Arial" w:cs="Arial"/>
          <w:sz w:val="24"/>
          <w:szCs w:val="24"/>
        </w:rPr>
        <w:t xml:space="preserve"> </w:t>
      </w:r>
      <w:r w:rsidRPr="00231AB5">
        <w:rPr>
          <w:rFonts w:ascii="Arial" w:hAnsi="Arial" w:cs="Arial"/>
          <w:sz w:val="24"/>
          <w:szCs w:val="24"/>
        </w:rPr>
        <w:t>z dnia 21 stycznia 1999 r.</w:t>
      </w:r>
      <w:r w:rsidRPr="00727A3E">
        <w:rPr>
          <w:rFonts w:ascii="Arial" w:hAnsi="Arial" w:cs="Arial"/>
          <w:sz w:val="24"/>
          <w:szCs w:val="24"/>
        </w:rPr>
        <w:t xml:space="preserve">, sygn. </w:t>
      </w:r>
      <w:smartTag w:uri="lexAThandschemas/lexAThand" w:element="lexATorzeczenia">
        <w:smartTagPr>
          <w:attr w:name="WydIDENT" w:val="I CKN"/>
          <w:attr w:name="DocIDENT" w:val="I CKN 955/97"/>
          <w:attr w:name="DOCTYPE" w:val="orzeczenie"/>
        </w:smartTagPr>
        <w:r w:rsidRPr="00231AB5">
          <w:rPr>
            <w:rFonts w:ascii="Arial" w:hAnsi="Arial" w:cs="Arial"/>
            <w:bCs/>
            <w:sz w:val="24"/>
            <w:szCs w:val="24"/>
          </w:rPr>
          <w:t xml:space="preserve">I CKN </w:t>
        </w:r>
        <w:smartTag w:uri="lexAThandschemas/lexAThand" w:element="lexATorzeczenia">
          <w:smartTagPr>
            <w:attr w:name="DocIDENT" w:val="955/97"/>
            <w:attr w:name="DOCTYPE" w:val="orzeczenie"/>
          </w:smartTagPr>
          <w:r w:rsidRPr="00231AB5">
            <w:rPr>
              <w:rFonts w:ascii="Arial" w:hAnsi="Arial" w:cs="Arial"/>
              <w:bCs/>
              <w:sz w:val="24"/>
              <w:szCs w:val="24"/>
            </w:rPr>
            <w:t>955/97</w:t>
          </w:r>
        </w:smartTag>
      </w:smartTag>
      <w:r w:rsidRPr="00727A3E">
        <w:rPr>
          <w:rFonts w:ascii="Arial" w:hAnsi="Arial" w:cs="Arial"/>
          <w:bCs/>
          <w:sz w:val="24"/>
          <w:szCs w:val="24"/>
        </w:rPr>
        <w:t>;</w:t>
      </w:r>
    </w:p>
    <w:p w:rsidR="00E76DDE" w:rsidRPr="00727A3E" w:rsidRDefault="00E76DDE" w:rsidP="00E76DDE">
      <w:pPr>
        <w:spacing w:line="240" w:lineRule="auto"/>
        <w:ind w:left="100"/>
        <w:jc w:val="both"/>
        <w:rPr>
          <w:rFonts w:ascii="Arial" w:hAnsi="Arial" w:cs="Arial"/>
          <w:sz w:val="24"/>
          <w:szCs w:val="24"/>
        </w:rPr>
      </w:pPr>
      <w:r w:rsidRPr="00231AB5">
        <w:rPr>
          <w:rFonts w:ascii="Arial" w:hAnsi="Arial" w:cs="Arial"/>
          <w:bCs/>
          <w:sz w:val="24"/>
          <w:szCs w:val="24"/>
        </w:rPr>
        <w:t>Wyrok</w:t>
      </w:r>
      <w:r w:rsidRPr="00727A3E">
        <w:rPr>
          <w:rFonts w:ascii="Arial" w:hAnsi="Arial" w:cs="Arial"/>
          <w:sz w:val="24"/>
          <w:szCs w:val="24"/>
        </w:rPr>
        <w:t xml:space="preserve"> </w:t>
      </w:r>
      <w:r w:rsidRPr="00231AB5">
        <w:rPr>
          <w:rFonts w:ascii="Arial" w:hAnsi="Arial" w:cs="Arial"/>
          <w:sz w:val="24"/>
          <w:szCs w:val="24"/>
        </w:rPr>
        <w:t>Sądu Najwyższego</w:t>
      </w:r>
      <w:r w:rsidRPr="00727A3E">
        <w:rPr>
          <w:rFonts w:ascii="Arial" w:hAnsi="Arial" w:cs="Arial"/>
          <w:sz w:val="24"/>
          <w:szCs w:val="24"/>
        </w:rPr>
        <w:t xml:space="preserve"> </w:t>
      </w:r>
      <w:r w:rsidRPr="00231AB5">
        <w:rPr>
          <w:rFonts w:ascii="Arial" w:hAnsi="Arial" w:cs="Arial"/>
          <w:sz w:val="24"/>
          <w:szCs w:val="24"/>
        </w:rPr>
        <w:t>z dnia 8 marca 2012 r.</w:t>
      </w:r>
      <w:r w:rsidRPr="00727A3E">
        <w:rPr>
          <w:rFonts w:ascii="Arial" w:hAnsi="Arial" w:cs="Arial"/>
          <w:sz w:val="24"/>
          <w:szCs w:val="24"/>
        </w:rPr>
        <w:t xml:space="preserve">, sygn. </w:t>
      </w:r>
      <w:smartTag w:uri="lexAThandschemas/lexAThand" w:element="lexATorzeczenia">
        <w:smartTagPr>
          <w:attr w:name="WydIDENT" w:val="III CSK"/>
          <w:attr w:name="DocIDENT" w:val="III CSK 292/1"/>
          <w:attr w:name="DOCTYPE" w:val="orzeczenie"/>
        </w:smartTagPr>
        <w:r w:rsidRPr="00231AB5">
          <w:rPr>
            <w:rFonts w:ascii="Arial" w:hAnsi="Arial" w:cs="Arial"/>
            <w:bCs/>
            <w:sz w:val="24"/>
            <w:szCs w:val="24"/>
          </w:rPr>
          <w:t>III CSK 292/1</w:t>
        </w:r>
      </w:smartTag>
      <w:r w:rsidRPr="00727A3E">
        <w:rPr>
          <w:rFonts w:ascii="Arial" w:hAnsi="Arial" w:cs="Arial"/>
          <w:bCs/>
          <w:sz w:val="24"/>
          <w:szCs w:val="24"/>
        </w:rPr>
        <w:t>;</w:t>
      </w:r>
    </w:p>
    <w:p w:rsidR="00E76DDE" w:rsidRPr="00727A3E" w:rsidRDefault="00E76DDE" w:rsidP="00E76DDE">
      <w:pPr>
        <w:spacing w:line="240" w:lineRule="auto"/>
        <w:ind w:left="100"/>
        <w:jc w:val="both"/>
        <w:rPr>
          <w:rFonts w:ascii="Arial" w:hAnsi="Arial" w:cs="Arial"/>
          <w:sz w:val="24"/>
          <w:szCs w:val="24"/>
        </w:rPr>
      </w:pPr>
      <w:r w:rsidRPr="00231AB5">
        <w:rPr>
          <w:rFonts w:ascii="Arial" w:hAnsi="Arial" w:cs="Arial"/>
          <w:bCs/>
          <w:sz w:val="24"/>
          <w:szCs w:val="24"/>
        </w:rPr>
        <w:t>Wyrok</w:t>
      </w:r>
      <w:r w:rsidRPr="00727A3E">
        <w:rPr>
          <w:rFonts w:ascii="Arial" w:hAnsi="Arial" w:cs="Arial"/>
          <w:sz w:val="24"/>
          <w:szCs w:val="24"/>
        </w:rPr>
        <w:t xml:space="preserve"> </w:t>
      </w:r>
      <w:r w:rsidRPr="00231AB5">
        <w:rPr>
          <w:rFonts w:ascii="Arial" w:hAnsi="Arial" w:cs="Arial"/>
          <w:sz w:val="24"/>
          <w:szCs w:val="24"/>
        </w:rPr>
        <w:t>Sądu Najwyższego</w:t>
      </w:r>
      <w:r w:rsidRPr="00727A3E">
        <w:rPr>
          <w:rFonts w:ascii="Arial" w:hAnsi="Arial" w:cs="Arial"/>
          <w:sz w:val="24"/>
          <w:szCs w:val="24"/>
        </w:rPr>
        <w:t xml:space="preserve"> </w:t>
      </w:r>
      <w:r w:rsidRPr="00231AB5">
        <w:rPr>
          <w:rFonts w:ascii="Arial" w:hAnsi="Arial" w:cs="Arial"/>
          <w:sz w:val="24"/>
          <w:szCs w:val="24"/>
        </w:rPr>
        <w:t>z dnia 4 lutego 2011 r.</w:t>
      </w:r>
      <w:r w:rsidRPr="00727A3E">
        <w:rPr>
          <w:rFonts w:ascii="Arial" w:hAnsi="Arial" w:cs="Arial"/>
          <w:sz w:val="24"/>
          <w:szCs w:val="24"/>
        </w:rPr>
        <w:t xml:space="preserve">, sygn. </w:t>
      </w:r>
      <w:smartTag w:uri="lexAThandschemas/lexAThand" w:element="lexATorzeczenia">
        <w:smartTagPr>
          <w:attr w:name="WydIDENT" w:val="III CSK"/>
          <w:attr w:name="DocIDENT" w:val="III CSK 198/1"/>
          <w:attr w:name="DOCTYPE" w:val="orzeczenie"/>
        </w:smartTagPr>
        <w:r w:rsidRPr="00231AB5">
          <w:rPr>
            <w:rFonts w:ascii="Arial" w:hAnsi="Arial" w:cs="Arial"/>
            <w:bCs/>
            <w:sz w:val="24"/>
            <w:szCs w:val="24"/>
          </w:rPr>
          <w:t>III CSK 198/1</w:t>
        </w:r>
      </w:smartTag>
      <w:r w:rsidRPr="00727A3E">
        <w:rPr>
          <w:rFonts w:ascii="Arial" w:hAnsi="Arial" w:cs="Arial"/>
          <w:bCs/>
          <w:sz w:val="24"/>
          <w:szCs w:val="24"/>
        </w:rPr>
        <w:t>;</w:t>
      </w:r>
    </w:p>
    <w:p w:rsidR="00E76DDE" w:rsidRPr="00727A3E" w:rsidRDefault="00E76DDE" w:rsidP="00E76DDE">
      <w:pPr>
        <w:spacing w:line="240" w:lineRule="auto"/>
        <w:ind w:left="100"/>
        <w:jc w:val="both"/>
        <w:rPr>
          <w:rFonts w:ascii="Arial" w:hAnsi="Arial" w:cs="Arial"/>
          <w:sz w:val="24"/>
          <w:szCs w:val="24"/>
        </w:rPr>
      </w:pPr>
      <w:r w:rsidRPr="00231AB5">
        <w:rPr>
          <w:rFonts w:ascii="Arial" w:hAnsi="Arial" w:cs="Arial"/>
          <w:bCs/>
          <w:sz w:val="24"/>
          <w:szCs w:val="24"/>
        </w:rPr>
        <w:t>Wyrok</w:t>
      </w:r>
      <w:r w:rsidRPr="00727A3E">
        <w:rPr>
          <w:rFonts w:ascii="Arial" w:hAnsi="Arial" w:cs="Arial"/>
          <w:sz w:val="24"/>
          <w:szCs w:val="24"/>
        </w:rPr>
        <w:t xml:space="preserve"> </w:t>
      </w:r>
      <w:r w:rsidRPr="00231AB5">
        <w:rPr>
          <w:rFonts w:ascii="Arial" w:hAnsi="Arial" w:cs="Arial"/>
          <w:sz w:val="24"/>
          <w:szCs w:val="24"/>
        </w:rPr>
        <w:t>Sądu Najwyższego</w:t>
      </w:r>
      <w:r w:rsidRPr="00727A3E">
        <w:rPr>
          <w:rFonts w:ascii="Arial" w:hAnsi="Arial" w:cs="Arial"/>
          <w:sz w:val="24"/>
          <w:szCs w:val="24"/>
        </w:rPr>
        <w:t xml:space="preserve"> </w:t>
      </w:r>
      <w:r w:rsidRPr="00231AB5">
        <w:rPr>
          <w:rFonts w:ascii="Arial" w:hAnsi="Arial" w:cs="Arial"/>
          <w:sz w:val="24"/>
          <w:szCs w:val="24"/>
        </w:rPr>
        <w:t>z dnia 24 listopada 2009 r.</w:t>
      </w:r>
      <w:r w:rsidRPr="00727A3E">
        <w:rPr>
          <w:rFonts w:ascii="Arial" w:hAnsi="Arial" w:cs="Arial"/>
          <w:sz w:val="24"/>
          <w:szCs w:val="24"/>
        </w:rPr>
        <w:t xml:space="preserve">, sygn. </w:t>
      </w:r>
      <w:smartTag w:uri="lexAThandschemas/lexAThand" w:element="lexATorzeczenia">
        <w:smartTagPr>
          <w:attr w:name="WydIDENT" w:val="V CSK"/>
          <w:attr w:name="DocIDENT" w:val="V CSK 163/09"/>
          <w:attr w:name="DOCTYPE" w:val="orzeczenie"/>
        </w:smartTagPr>
        <w:r w:rsidRPr="00231AB5">
          <w:rPr>
            <w:rFonts w:ascii="Arial" w:hAnsi="Arial" w:cs="Arial"/>
            <w:bCs/>
            <w:sz w:val="24"/>
            <w:szCs w:val="24"/>
          </w:rPr>
          <w:t xml:space="preserve">V CSK </w:t>
        </w:r>
        <w:smartTag w:uri="lexAThandschemas/lexAThand" w:element="lexATorzeczenia">
          <w:smartTagPr>
            <w:attr w:name="DocIDENT" w:val="163/09"/>
            <w:attr w:name="DOCTYPE" w:val="orzeczenie"/>
          </w:smartTagPr>
          <w:r w:rsidRPr="00231AB5">
            <w:rPr>
              <w:rFonts w:ascii="Arial" w:hAnsi="Arial" w:cs="Arial"/>
              <w:bCs/>
              <w:sz w:val="24"/>
              <w:szCs w:val="24"/>
            </w:rPr>
            <w:t>163/09</w:t>
          </w:r>
        </w:smartTag>
      </w:smartTag>
      <w:r w:rsidRPr="00727A3E">
        <w:rPr>
          <w:rFonts w:ascii="Arial" w:hAnsi="Arial" w:cs="Arial"/>
          <w:bCs/>
          <w:sz w:val="24"/>
          <w:szCs w:val="24"/>
        </w:rPr>
        <w:t>;</w:t>
      </w:r>
    </w:p>
    <w:p w:rsidR="00E76DDE" w:rsidRPr="00727A3E" w:rsidRDefault="00E76DDE" w:rsidP="00E76DDE">
      <w:pPr>
        <w:spacing w:line="240" w:lineRule="auto"/>
        <w:ind w:left="100"/>
        <w:jc w:val="both"/>
        <w:rPr>
          <w:rFonts w:ascii="Arial" w:hAnsi="Arial" w:cs="Arial"/>
          <w:sz w:val="24"/>
          <w:szCs w:val="24"/>
        </w:rPr>
      </w:pPr>
      <w:r w:rsidRPr="00727A3E">
        <w:rPr>
          <w:rFonts w:ascii="Arial" w:hAnsi="Arial" w:cs="Arial"/>
          <w:bCs/>
          <w:sz w:val="24"/>
          <w:szCs w:val="24"/>
        </w:rPr>
        <w:t>Postanowienie</w:t>
      </w:r>
      <w:r w:rsidRPr="00727A3E">
        <w:rPr>
          <w:rFonts w:ascii="Arial" w:hAnsi="Arial" w:cs="Arial"/>
          <w:sz w:val="24"/>
          <w:szCs w:val="24"/>
        </w:rPr>
        <w:t xml:space="preserve"> Sądu Najwyższego z dnia 9 września 2009 r., sygn.  </w:t>
      </w:r>
      <w:smartTag w:uri="lexAThandschemas/lexAThand" w:element="lexATorzeczenia">
        <w:smartTagPr>
          <w:attr w:name="WydIDENT" w:val="V CSK"/>
          <w:attr w:name="DocIDENT" w:val="V CSK 43/09"/>
          <w:attr w:name="DOCTYPE" w:val="orzeczenie"/>
        </w:smartTagPr>
        <w:r w:rsidRPr="00727A3E">
          <w:rPr>
            <w:rFonts w:ascii="Arial" w:hAnsi="Arial" w:cs="Arial"/>
            <w:bCs/>
            <w:sz w:val="24"/>
            <w:szCs w:val="24"/>
          </w:rPr>
          <w:t xml:space="preserve">V CSK </w:t>
        </w:r>
        <w:smartTag w:uri="lexAThandschemas/lexAThand" w:element="lexATorzeczenia">
          <w:smartTagPr>
            <w:attr w:name="DocIDENT" w:val="43/09"/>
            <w:attr w:name="DOCTYPE" w:val="orzeczenie"/>
          </w:smartTagPr>
          <w:r w:rsidRPr="00727A3E">
            <w:rPr>
              <w:rFonts w:ascii="Arial" w:hAnsi="Arial" w:cs="Arial"/>
              <w:bCs/>
              <w:sz w:val="24"/>
              <w:szCs w:val="24"/>
            </w:rPr>
            <w:t>43/09</w:t>
          </w:r>
        </w:smartTag>
      </w:smartTag>
      <w:r w:rsidRPr="00727A3E">
        <w:rPr>
          <w:rFonts w:ascii="Arial" w:hAnsi="Arial" w:cs="Arial"/>
          <w:bCs/>
          <w:sz w:val="24"/>
          <w:szCs w:val="24"/>
        </w:rPr>
        <w:t>;</w:t>
      </w:r>
    </w:p>
    <w:p w:rsidR="00E76DDE" w:rsidRPr="00727A3E" w:rsidRDefault="00E76DDE" w:rsidP="00E76DDE">
      <w:pPr>
        <w:spacing w:line="240" w:lineRule="auto"/>
        <w:ind w:left="100"/>
        <w:jc w:val="both"/>
        <w:rPr>
          <w:rFonts w:ascii="Arial" w:hAnsi="Arial" w:cs="Arial"/>
          <w:sz w:val="24"/>
          <w:szCs w:val="24"/>
        </w:rPr>
      </w:pPr>
      <w:r w:rsidRPr="00727A3E">
        <w:rPr>
          <w:rFonts w:ascii="Arial" w:hAnsi="Arial" w:cs="Arial"/>
          <w:bCs/>
          <w:sz w:val="24"/>
          <w:szCs w:val="24"/>
        </w:rPr>
        <w:t>Wyrok</w:t>
      </w:r>
      <w:r w:rsidRPr="00727A3E">
        <w:rPr>
          <w:rFonts w:ascii="Arial" w:hAnsi="Arial" w:cs="Arial"/>
          <w:sz w:val="24"/>
          <w:szCs w:val="24"/>
        </w:rPr>
        <w:t xml:space="preserve"> Sądu Apelacyjnego w Poznaniu z dnia 12 marca 2008 r., sygn. </w:t>
      </w:r>
      <w:smartTag w:uri="lexAThandschemas/lexAThand" w:element="lexATorzeczenia">
        <w:smartTagPr>
          <w:attr w:name="WydIDENT" w:val="I ACa"/>
          <w:attr w:name="DocIDENT" w:val="I ACa 140/08"/>
          <w:attr w:name="DOCTYPE" w:val="orzeczenie"/>
        </w:smartTagPr>
        <w:r w:rsidRPr="00727A3E">
          <w:rPr>
            <w:rFonts w:ascii="Arial" w:hAnsi="Arial" w:cs="Arial"/>
            <w:bCs/>
            <w:sz w:val="24"/>
            <w:szCs w:val="24"/>
          </w:rPr>
          <w:t xml:space="preserve">I </w:t>
        </w:r>
        <w:proofErr w:type="spellStart"/>
        <w:r w:rsidRPr="00727A3E">
          <w:rPr>
            <w:rFonts w:ascii="Arial" w:hAnsi="Arial" w:cs="Arial"/>
            <w:bCs/>
            <w:sz w:val="24"/>
            <w:szCs w:val="24"/>
          </w:rPr>
          <w:t>ACa</w:t>
        </w:r>
        <w:proofErr w:type="spellEnd"/>
        <w:r w:rsidRPr="00727A3E">
          <w:rPr>
            <w:rFonts w:ascii="Arial" w:hAnsi="Arial" w:cs="Arial"/>
            <w:bCs/>
            <w:sz w:val="24"/>
            <w:szCs w:val="24"/>
          </w:rPr>
          <w:t xml:space="preserve"> </w:t>
        </w:r>
        <w:smartTag w:uri="lexAThandschemas/lexAThand" w:element="lexATorzeczenia">
          <w:smartTagPr>
            <w:attr w:name="DocIDENT" w:val="140/08"/>
            <w:attr w:name="DOCTYPE" w:val="orzeczenie"/>
          </w:smartTagPr>
          <w:r w:rsidRPr="00727A3E">
            <w:rPr>
              <w:rFonts w:ascii="Arial" w:hAnsi="Arial" w:cs="Arial"/>
              <w:bCs/>
              <w:sz w:val="24"/>
              <w:szCs w:val="24"/>
            </w:rPr>
            <w:t>140/08</w:t>
          </w:r>
        </w:smartTag>
      </w:smartTag>
      <w:r w:rsidRPr="00727A3E">
        <w:rPr>
          <w:rFonts w:ascii="Arial" w:hAnsi="Arial" w:cs="Arial"/>
          <w:bCs/>
          <w:sz w:val="24"/>
          <w:szCs w:val="24"/>
        </w:rPr>
        <w:t>.</w:t>
      </w:r>
    </w:p>
    <w:p w:rsidR="00E76DDE" w:rsidRDefault="00E76DDE" w:rsidP="00EB3364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6DDE" w:rsidRDefault="00E76DDE" w:rsidP="00EB3364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0005" w:rsidRPr="009E10B2" w:rsidRDefault="00DC0005" w:rsidP="00DC0005">
      <w:pPr>
        <w:spacing w:after="6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9E10B2">
        <w:rPr>
          <w:rFonts w:ascii="Arial" w:eastAsia="Times New Roman" w:hAnsi="Arial" w:cs="Arial"/>
          <w:i/>
          <w:sz w:val="28"/>
          <w:szCs w:val="28"/>
          <w:lang w:eastAsia="pl-PL"/>
        </w:rPr>
        <w:t>Zagadnienia do przygotowania</w:t>
      </w:r>
    </w:p>
    <w:p w:rsidR="00DC0005" w:rsidRPr="00B72A2D" w:rsidRDefault="00DC0005" w:rsidP="00DC0005">
      <w:pPr>
        <w:spacing w:after="6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DC0005" w:rsidRDefault="00DC0005" w:rsidP="00EB3364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072E" w:rsidRDefault="00E4466A" w:rsidP="00C40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Kazus 1</w:t>
      </w:r>
    </w:p>
    <w:p w:rsidR="00C4072E" w:rsidRDefault="00C4072E" w:rsidP="00C40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072E" w:rsidRPr="009E69C6" w:rsidRDefault="00C4072E" w:rsidP="00C40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69C6">
        <w:rPr>
          <w:rFonts w:ascii="Arial" w:hAnsi="Arial" w:cs="Arial"/>
          <w:sz w:val="24"/>
          <w:szCs w:val="24"/>
        </w:rPr>
        <w:t xml:space="preserve">Wydobycie S.A., Kompania Łupkowa S.A. i </w:t>
      </w:r>
      <w:proofErr w:type="spellStart"/>
      <w:r w:rsidRPr="009E69C6">
        <w:rPr>
          <w:rFonts w:ascii="Arial" w:hAnsi="Arial" w:cs="Arial"/>
          <w:sz w:val="24"/>
          <w:szCs w:val="24"/>
        </w:rPr>
        <w:t>Komb</w:t>
      </w:r>
      <w:r>
        <w:rPr>
          <w:rFonts w:ascii="Arial" w:hAnsi="Arial" w:cs="Arial"/>
          <w:sz w:val="24"/>
          <w:szCs w:val="24"/>
        </w:rPr>
        <w:t>aj</w:t>
      </w:r>
      <w:r w:rsidRPr="009E69C6">
        <w:rPr>
          <w:rFonts w:ascii="Arial" w:hAnsi="Arial" w:cs="Arial"/>
          <w:sz w:val="24"/>
          <w:szCs w:val="24"/>
        </w:rPr>
        <w:t>nex</w:t>
      </w:r>
      <w:proofErr w:type="spellEnd"/>
      <w:r w:rsidRPr="009E69C6">
        <w:rPr>
          <w:rFonts w:ascii="Arial" w:hAnsi="Arial" w:cs="Arial"/>
          <w:sz w:val="24"/>
          <w:szCs w:val="24"/>
        </w:rPr>
        <w:t xml:space="preserve"> S.A. zamierzają wspólnie prowadzić działalność w dziedzinie wydobycia gazu łupkowego i w tym zawrzeć umowę o współpracę, mocą której zobowiążą się współdziałać celem wspólnego prowadzenia działalności gospodarczej, w szczególności poprzez objęcie 1/3 z 90 </w:t>
      </w:r>
      <w:r>
        <w:rPr>
          <w:rFonts w:ascii="Arial" w:hAnsi="Arial" w:cs="Arial"/>
          <w:sz w:val="24"/>
          <w:szCs w:val="24"/>
        </w:rPr>
        <w:t>akcji</w:t>
      </w:r>
      <w:r w:rsidRPr="009E69C6">
        <w:rPr>
          <w:rFonts w:ascii="Arial" w:hAnsi="Arial" w:cs="Arial"/>
          <w:sz w:val="24"/>
          <w:szCs w:val="24"/>
        </w:rPr>
        <w:t xml:space="preserve"> w nowo tworzonej spółce </w:t>
      </w:r>
      <w:proofErr w:type="spellStart"/>
      <w:r w:rsidRPr="009E69C6">
        <w:rPr>
          <w:rFonts w:ascii="Arial" w:hAnsi="Arial" w:cs="Arial"/>
          <w:sz w:val="24"/>
          <w:szCs w:val="24"/>
        </w:rPr>
        <w:t>Łupex</w:t>
      </w:r>
      <w:proofErr w:type="spellEnd"/>
      <w:r w:rsidRPr="009E69C6">
        <w:rPr>
          <w:rFonts w:ascii="Arial" w:hAnsi="Arial" w:cs="Arial"/>
          <w:sz w:val="24"/>
          <w:szCs w:val="24"/>
        </w:rPr>
        <w:t xml:space="preserve"> S.A., zajmującej się wydobywaniem gazu. </w:t>
      </w:r>
    </w:p>
    <w:p w:rsidR="00C4072E" w:rsidRPr="00A636DA" w:rsidRDefault="00C4072E" w:rsidP="00C40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072E" w:rsidRPr="00EB3364" w:rsidRDefault="00C4072E" w:rsidP="00C4072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A636DA">
        <w:rPr>
          <w:rFonts w:ascii="Arial" w:hAnsi="Arial" w:cs="Arial"/>
          <w:bCs/>
          <w:sz w:val="24"/>
          <w:szCs w:val="24"/>
          <w:u w:val="single"/>
        </w:rPr>
        <w:t>Zadanie:</w:t>
      </w:r>
      <w:r w:rsidRPr="00A636DA">
        <w:rPr>
          <w:rFonts w:ascii="Arial" w:hAnsi="Arial" w:cs="Arial"/>
          <w:bCs/>
          <w:sz w:val="24"/>
          <w:szCs w:val="24"/>
        </w:rPr>
        <w:t xml:space="preserve"> </w:t>
      </w:r>
      <w:r w:rsidR="001C4C68">
        <w:rPr>
          <w:rFonts w:ascii="Arial" w:hAnsi="Arial" w:cs="Arial"/>
          <w:bCs/>
          <w:sz w:val="24"/>
          <w:szCs w:val="24"/>
        </w:rPr>
        <w:t xml:space="preserve">proszę </w:t>
      </w:r>
      <w:r w:rsidRPr="00A636DA">
        <w:rPr>
          <w:rFonts w:ascii="Arial" w:hAnsi="Arial" w:cs="Arial"/>
          <w:bCs/>
          <w:sz w:val="24"/>
          <w:szCs w:val="24"/>
        </w:rPr>
        <w:t xml:space="preserve">przygotować </w:t>
      </w:r>
      <w:r>
        <w:rPr>
          <w:rFonts w:ascii="Arial" w:hAnsi="Arial" w:cs="Arial"/>
          <w:bCs/>
          <w:sz w:val="24"/>
          <w:szCs w:val="24"/>
        </w:rPr>
        <w:t>kompleksowy projekt klauzuli</w:t>
      </w:r>
      <w:r w:rsidR="001C4C68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w której strony ustanowią</w:t>
      </w:r>
      <w:r w:rsidR="00A009F4">
        <w:rPr>
          <w:rFonts w:ascii="Arial" w:hAnsi="Arial" w:cs="Arial"/>
          <w:bCs/>
          <w:sz w:val="24"/>
          <w:szCs w:val="24"/>
        </w:rPr>
        <w:t xml:space="preserve"> i zabezpieczą</w:t>
      </w:r>
      <w:r>
        <w:rPr>
          <w:rFonts w:ascii="Arial" w:hAnsi="Arial" w:cs="Arial"/>
          <w:bCs/>
          <w:sz w:val="24"/>
          <w:szCs w:val="24"/>
        </w:rPr>
        <w:t xml:space="preserve"> prawo pierw</w:t>
      </w:r>
      <w:r w:rsidR="00CA3E57">
        <w:rPr>
          <w:rFonts w:ascii="Arial" w:hAnsi="Arial" w:cs="Arial"/>
          <w:bCs/>
          <w:sz w:val="24"/>
          <w:szCs w:val="24"/>
        </w:rPr>
        <w:t>okupu</w:t>
      </w:r>
      <w:r>
        <w:rPr>
          <w:rFonts w:ascii="Arial" w:hAnsi="Arial" w:cs="Arial"/>
          <w:bCs/>
          <w:sz w:val="24"/>
          <w:szCs w:val="24"/>
        </w:rPr>
        <w:t xml:space="preserve"> akcji na rzecz każdego z pozostałych akcjonariuszy</w:t>
      </w:r>
      <w:r w:rsidR="001C4C68">
        <w:rPr>
          <w:rFonts w:ascii="Arial" w:hAnsi="Arial" w:cs="Arial"/>
          <w:bCs/>
          <w:sz w:val="24"/>
          <w:szCs w:val="24"/>
        </w:rPr>
        <w:t>, c</w:t>
      </w:r>
      <w:r w:rsidR="00A009F4">
        <w:rPr>
          <w:rFonts w:ascii="Arial" w:hAnsi="Arial" w:cs="Arial"/>
          <w:bCs/>
          <w:sz w:val="24"/>
          <w:szCs w:val="24"/>
        </w:rPr>
        <w:t>elem jej zamieszczenia w umowie</w:t>
      </w:r>
      <w:r w:rsidR="001C4C68">
        <w:rPr>
          <w:rFonts w:ascii="Arial" w:hAnsi="Arial" w:cs="Arial"/>
          <w:bCs/>
          <w:sz w:val="24"/>
          <w:szCs w:val="24"/>
        </w:rPr>
        <w:t xml:space="preserve"> o współpracy i statucie</w:t>
      </w:r>
      <w:r w:rsidRPr="00A636DA">
        <w:rPr>
          <w:rFonts w:ascii="Arial" w:hAnsi="Arial" w:cs="Arial"/>
          <w:bCs/>
          <w:sz w:val="24"/>
          <w:szCs w:val="24"/>
        </w:rPr>
        <w:t>.</w:t>
      </w:r>
    </w:p>
    <w:p w:rsidR="00DC0005" w:rsidRDefault="00DC0005" w:rsidP="00EB3364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E4709" w:rsidRDefault="009E4709" w:rsidP="00EB3364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09F4" w:rsidRDefault="00CC21DB" w:rsidP="00EB3364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Kazus 2</w:t>
      </w:r>
    </w:p>
    <w:p w:rsidR="00A009F4" w:rsidRDefault="00A009F4" w:rsidP="00EB3364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E4709" w:rsidRDefault="00A009F4" w:rsidP="00EB3364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Paolo Frutti GmbH jest </w:t>
      </w:r>
      <w:r w:rsidR="000847DE">
        <w:rPr>
          <w:rFonts w:ascii="Arial" w:eastAsia="Times New Roman" w:hAnsi="Arial" w:cs="Arial"/>
          <w:sz w:val="24"/>
          <w:szCs w:val="24"/>
          <w:lang w:eastAsia="pl-PL"/>
        </w:rPr>
        <w:t>spółką niemiecką</w:t>
      </w:r>
      <w:r w:rsidR="009E470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produkującą kosmetyki, dotąd nie sprzedawane na polskim rynku.</w:t>
      </w:r>
      <w:r w:rsidR="009E47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9E4709">
        <w:rPr>
          <w:rFonts w:ascii="Arial" w:eastAsia="Times New Roman" w:hAnsi="Arial" w:cs="Arial"/>
          <w:sz w:val="24"/>
          <w:szCs w:val="24"/>
          <w:lang w:eastAsia="pl-PL"/>
        </w:rPr>
        <w:t>Fumarex</w:t>
      </w:r>
      <w:proofErr w:type="spellEnd"/>
      <w:r w:rsidR="009E4709">
        <w:rPr>
          <w:rFonts w:ascii="Arial" w:eastAsia="Times New Roman" w:hAnsi="Arial" w:cs="Arial"/>
          <w:sz w:val="24"/>
          <w:szCs w:val="24"/>
          <w:lang w:eastAsia="pl-PL"/>
        </w:rPr>
        <w:t xml:space="preserve"> S.A. jest spółką zajmującą się </w:t>
      </w:r>
      <w:r w:rsidR="00000EFE">
        <w:rPr>
          <w:rFonts w:ascii="Arial" w:eastAsia="Times New Roman" w:hAnsi="Arial" w:cs="Arial"/>
          <w:sz w:val="24"/>
          <w:szCs w:val="24"/>
          <w:lang w:eastAsia="pl-PL"/>
        </w:rPr>
        <w:t>sprzedażą</w:t>
      </w:r>
      <w:r w:rsidR="009E4709">
        <w:rPr>
          <w:rFonts w:ascii="Arial" w:eastAsia="Times New Roman" w:hAnsi="Arial" w:cs="Arial"/>
          <w:sz w:val="24"/>
          <w:szCs w:val="24"/>
          <w:lang w:eastAsia="pl-PL"/>
        </w:rPr>
        <w:t xml:space="preserve"> kosmetyków.</w:t>
      </w:r>
    </w:p>
    <w:p w:rsidR="009E4709" w:rsidRDefault="009E4709" w:rsidP="009E4709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09F4" w:rsidRDefault="009E4709" w:rsidP="009E4709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36DA">
        <w:rPr>
          <w:rFonts w:ascii="Arial" w:hAnsi="Arial" w:cs="Arial"/>
          <w:bCs/>
          <w:sz w:val="24"/>
          <w:szCs w:val="24"/>
          <w:u w:val="single"/>
        </w:rPr>
        <w:t>Zadanie:</w:t>
      </w:r>
      <w:r w:rsidRPr="00A636D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jako pełnomocnik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Fumarex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S.A </w:t>
      </w:r>
      <w:r>
        <w:rPr>
          <w:rFonts w:ascii="Arial" w:hAnsi="Arial" w:cs="Arial"/>
          <w:bCs/>
          <w:sz w:val="24"/>
          <w:szCs w:val="24"/>
        </w:rPr>
        <w:t xml:space="preserve">proszę </w:t>
      </w:r>
      <w:r w:rsidRPr="00A636DA">
        <w:rPr>
          <w:rFonts w:ascii="Arial" w:hAnsi="Arial" w:cs="Arial"/>
          <w:bCs/>
          <w:sz w:val="24"/>
          <w:szCs w:val="24"/>
        </w:rPr>
        <w:t>przygotować</w:t>
      </w:r>
      <w:r>
        <w:rPr>
          <w:rFonts w:ascii="Arial" w:hAnsi="Arial" w:cs="Arial"/>
          <w:bCs/>
          <w:sz w:val="24"/>
          <w:szCs w:val="24"/>
        </w:rPr>
        <w:t xml:space="preserve"> projekt </w:t>
      </w:r>
      <w:r w:rsidR="000847DE">
        <w:rPr>
          <w:rFonts w:ascii="Arial" w:hAnsi="Arial" w:cs="Arial"/>
          <w:bCs/>
          <w:sz w:val="24"/>
          <w:szCs w:val="24"/>
        </w:rPr>
        <w:t>umowy</w:t>
      </w:r>
      <w:r>
        <w:rPr>
          <w:rFonts w:ascii="Arial" w:hAnsi="Arial" w:cs="Arial"/>
          <w:bCs/>
          <w:sz w:val="24"/>
          <w:szCs w:val="24"/>
        </w:rPr>
        <w:t xml:space="preserve"> dystrybucji produktów </w:t>
      </w:r>
      <w:r>
        <w:rPr>
          <w:rFonts w:ascii="Arial" w:eastAsia="Times New Roman" w:hAnsi="Arial" w:cs="Arial"/>
          <w:sz w:val="24"/>
          <w:szCs w:val="24"/>
          <w:lang w:eastAsia="pl-PL"/>
        </w:rPr>
        <w:t>Paolo Frutti GmbH</w:t>
      </w:r>
      <w:r>
        <w:rPr>
          <w:rFonts w:ascii="Arial" w:hAnsi="Arial" w:cs="Arial"/>
          <w:bCs/>
          <w:sz w:val="24"/>
          <w:szCs w:val="24"/>
        </w:rPr>
        <w:t xml:space="preserve"> na polskim rynku.</w:t>
      </w:r>
    </w:p>
    <w:p w:rsidR="00F070BE" w:rsidRDefault="00F070BE" w:rsidP="00EB3364">
      <w:pPr>
        <w:spacing w:after="6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2555B9" w:rsidRDefault="002555B9" w:rsidP="00EB3364">
      <w:pPr>
        <w:spacing w:after="6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655351" w:rsidRDefault="00655351" w:rsidP="00EB3364">
      <w:pPr>
        <w:spacing w:after="6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655351" w:rsidRPr="00E76DDE" w:rsidRDefault="00655351" w:rsidP="00EB3364">
      <w:pPr>
        <w:spacing w:after="6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BE2893" w:rsidRPr="00E76DDE" w:rsidRDefault="00EB3364" w:rsidP="00BE2893">
      <w:pPr>
        <w:spacing w:after="6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76DDE">
        <w:rPr>
          <w:rFonts w:ascii="Arial" w:eastAsia="Times New Roman" w:hAnsi="Arial" w:cs="Arial"/>
          <w:b/>
          <w:sz w:val="28"/>
          <w:szCs w:val="28"/>
          <w:lang w:eastAsia="pl-PL"/>
        </w:rPr>
        <w:t>II</w:t>
      </w:r>
      <w:r w:rsidR="00C87708" w:rsidRPr="00E76DDE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="00C87708" w:rsidRPr="00E76DDE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313884" w:rsidRPr="00E76DDE">
        <w:rPr>
          <w:rFonts w:ascii="Arial" w:eastAsia="Times New Roman" w:hAnsi="Arial" w:cs="Arial"/>
          <w:sz w:val="28"/>
          <w:szCs w:val="28"/>
          <w:lang w:eastAsia="pl-PL"/>
        </w:rPr>
        <w:t>Umowa przedwstępna</w:t>
      </w:r>
    </w:p>
    <w:p w:rsidR="00BE2893" w:rsidRPr="00E76DDE" w:rsidRDefault="00BE2893" w:rsidP="00BE2893">
      <w:pPr>
        <w:spacing w:after="6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320BC3" w:rsidRDefault="0084011C" w:rsidP="00BE2893">
      <w:pPr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Definicja, istota, cel</w:t>
      </w:r>
      <w:r w:rsidR="00BE2893">
        <w:rPr>
          <w:rFonts w:ascii="Arial" w:eastAsia="Times New Roman" w:hAnsi="Arial" w:cs="Arial"/>
          <w:sz w:val="24"/>
          <w:szCs w:val="24"/>
          <w:lang w:eastAsia="pl-PL"/>
        </w:rPr>
        <w:t xml:space="preserve"> i zakres umowy</w:t>
      </w:r>
      <w:r w:rsidR="004348A6">
        <w:rPr>
          <w:rFonts w:ascii="Arial" w:eastAsia="Times New Roman" w:hAnsi="Arial" w:cs="Arial"/>
          <w:sz w:val="24"/>
          <w:szCs w:val="24"/>
          <w:lang w:eastAsia="pl-PL"/>
        </w:rPr>
        <w:t xml:space="preserve"> przedwstępnej</w:t>
      </w:r>
      <w:r w:rsidR="00BE28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E2893" w:rsidRDefault="0084011C" w:rsidP="00BE2893">
      <w:pPr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Umowa przedwstępna a inne umowy</w:t>
      </w:r>
      <w:r w:rsidR="00BE28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E2893" w:rsidRDefault="0084011C" w:rsidP="00BE2893">
      <w:pPr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Umowa przedwstępna a umowa </w:t>
      </w:r>
      <w:r w:rsidR="004348A6">
        <w:rPr>
          <w:rFonts w:ascii="Arial" w:eastAsia="Times New Roman" w:hAnsi="Arial" w:cs="Arial"/>
          <w:sz w:val="24"/>
          <w:szCs w:val="24"/>
          <w:lang w:eastAsia="pl-PL"/>
        </w:rPr>
        <w:t>przyrzeczona</w:t>
      </w:r>
      <w:r w:rsidR="00BE28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E2893" w:rsidRPr="004348A6" w:rsidRDefault="001A36C6" w:rsidP="004348A6">
      <w:pPr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Umowa przyrzeczona – istotne postanowienia</w:t>
      </w:r>
      <w:r w:rsidR="00E0307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F2917" w:rsidRDefault="001A36C6" w:rsidP="00BE2893">
      <w:pPr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Termin zawarcia umowy przyrzeczonej</w:t>
      </w:r>
    </w:p>
    <w:p w:rsidR="004348A6" w:rsidRDefault="004348A6" w:rsidP="00BE2893">
      <w:pPr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Wykonanie i skutki niewykonania zobowiązań z umowy przedwstępnej</w:t>
      </w:r>
    </w:p>
    <w:p w:rsidR="008337A1" w:rsidRDefault="001A36C6" w:rsidP="00BE2893">
      <w:pPr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Zagadnienia szczegółowe</w:t>
      </w:r>
    </w:p>
    <w:p w:rsidR="001A36C6" w:rsidRDefault="001A36C6" w:rsidP="001A36C6">
      <w:pPr>
        <w:pStyle w:val="Akapitzlist"/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Sporządzenie wybranych klauzul umownych</w:t>
      </w:r>
    </w:p>
    <w:p w:rsidR="009E10B2" w:rsidRDefault="009E10B2" w:rsidP="00634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36C6" w:rsidRPr="009E10B2" w:rsidRDefault="001A36C6" w:rsidP="001A36C6">
      <w:pPr>
        <w:spacing w:after="6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Źródła prawa</w:t>
      </w:r>
    </w:p>
    <w:p w:rsidR="00C174B3" w:rsidRDefault="00C174B3" w:rsidP="00C174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C174B3">
        <w:rPr>
          <w:rFonts w:ascii="Arial" w:hAnsi="Arial" w:cs="Arial"/>
          <w:color w:val="000000"/>
          <w:sz w:val="24"/>
          <w:szCs w:val="24"/>
          <w:lang w:eastAsia="pl-PL"/>
        </w:rPr>
        <w:t>Ustawa z dnia 23 kwietnia 1964 r. Kodeks cywilny (</w:t>
      </w:r>
      <w:proofErr w:type="spellStart"/>
      <w:r w:rsidRPr="00C174B3">
        <w:rPr>
          <w:rFonts w:ascii="Arial" w:hAnsi="Arial" w:cs="Arial"/>
          <w:color w:val="000000"/>
          <w:sz w:val="24"/>
          <w:szCs w:val="24"/>
          <w:lang w:eastAsia="pl-PL"/>
        </w:rPr>
        <w:t>t.j</w:t>
      </w:r>
      <w:proofErr w:type="spellEnd"/>
      <w:r w:rsidRPr="00C174B3">
        <w:rPr>
          <w:rFonts w:ascii="Arial" w:hAnsi="Arial" w:cs="Arial"/>
          <w:color w:val="000000"/>
          <w:sz w:val="24"/>
          <w:szCs w:val="24"/>
          <w:lang w:eastAsia="pl-PL"/>
        </w:rPr>
        <w:t>. Dz.U. 2016, poz. 380 ze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zm.</w:t>
      </w:r>
    </w:p>
    <w:p w:rsidR="00C174B3" w:rsidRPr="00C174B3" w:rsidRDefault="00C174B3" w:rsidP="00C174B3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4348A6" w:rsidRPr="00313884" w:rsidRDefault="00C174B3" w:rsidP="004348A6">
      <w:pPr>
        <w:spacing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</w:t>
      </w:r>
      <w:r w:rsidR="004348A6">
        <w:rPr>
          <w:rFonts w:ascii="Arial" w:eastAsia="Times New Roman" w:hAnsi="Arial" w:cs="Arial"/>
          <w:i/>
          <w:sz w:val="28"/>
          <w:szCs w:val="28"/>
          <w:lang w:eastAsia="pl-PL"/>
        </w:rPr>
        <w:t>Wybór literatury</w:t>
      </w:r>
    </w:p>
    <w:p w:rsidR="004348A6" w:rsidRDefault="004348A6" w:rsidP="0043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4348A6" w:rsidRDefault="004348A6" w:rsidP="0043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M. Krajewski</w:t>
      </w:r>
      <w:r w:rsidRPr="00313884">
        <w:rPr>
          <w:rFonts w:ascii="Arial" w:hAnsi="Arial" w:cs="Arial"/>
          <w:sz w:val="24"/>
          <w:szCs w:val="24"/>
          <w:lang w:eastAsia="pl-PL"/>
        </w:rPr>
        <w:t xml:space="preserve">, </w:t>
      </w:r>
      <w:r>
        <w:rPr>
          <w:rFonts w:ascii="Arial" w:hAnsi="Arial" w:cs="Arial"/>
          <w:sz w:val="24"/>
          <w:szCs w:val="24"/>
          <w:lang w:eastAsia="pl-PL"/>
        </w:rPr>
        <w:t>Umowa przedwstępna, Warszawa 2002</w:t>
      </w:r>
    </w:p>
    <w:p w:rsidR="004348A6" w:rsidRPr="00313884" w:rsidRDefault="004348A6" w:rsidP="0043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tenże</w:t>
      </w:r>
      <w:r w:rsidRPr="00313884">
        <w:rPr>
          <w:rFonts w:ascii="Arial" w:hAnsi="Arial" w:cs="Arial"/>
          <w:sz w:val="24"/>
          <w:szCs w:val="24"/>
          <w:lang w:eastAsia="pl-PL"/>
        </w:rPr>
        <w:t xml:space="preserve">, </w:t>
      </w:r>
      <w:r>
        <w:rPr>
          <w:rFonts w:ascii="Arial" w:hAnsi="Arial" w:cs="Arial"/>
          <w:sz w:val="24"/>
          <w:szCs w:val="24"/>
          <w:lang w:eastAsia="pl-PL"/>
        </w:rPr>
        <w:t>Umowa przedwstępna</w:t>
      </w:r>
      <w:r w:rsidRPr="00313884">
        <w:rPr>
          <w:rFonts w:ascii="Arial" w:hAnsi="Arial" w:cs="Arial"/>
          <w:sz w:val="24"/>
          <w:szCs w:val="24"/>
          <w:lang w:eastAsia="pl-PL"/>
        </w:rPr>
        <w:t xml:space="preserve"> [w:</w:t>
      </w:r>
      <w:r>
        <w:rPr>
          <w:rFonts w:ascii="Arial" w:hAnsi="Arial" w:cs="Arial"/>
          <w:sz w:val="24"/>
          <w:szCs w:val="24"/>
          <w:lang w:eastAsia="pl-PL"/>
        </w:rPr>
        <w:t>] System prawa prywatnego, tom 5</w:t>
      </w:r>
      <w:r w:rsidRPr="00313884">
        <w:rPr>
          <w:rFonts w:ascii="Arial" w:hAnsi="Arial" w:cs="Arial"/>
          <w:sz w:val="24"/>
          <w:szCs w:val="24"/>
          <w:lang w:eastAsia="pl-PL"/>
        </w:rPr>
        <w:t>, Prawo zobowi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313884">
        <w:rPr>
          <w:rFonts w:ascii="Arial" w:hAnsi="Arial" w:cs="Arial"/>
          <w:sz w:val="24"/>
          <w:szCs w:val="24"/>
          <w:lang w:eastAsia="pl-PL"/>
        </w:rPr>
        <w:t>za</w:t>
      </w:r>
      <w:r>
        <w:rPr>
          <w:rFonts w:ascii="Arial" w:hAnsi="Arial" w:cs="Arial"/>
          <w:sz w:val="24"/>
          <w:szCs w:val="24"/>
          <w:lang w:eastAsia="pl-PL"/>
        </w:rPr>
        <w:t>ń</w:t>
      </w:r>
      <w:r w:rsidRPr="00313884">
        <w:rPr>
          <w:rFonts w:ascii="Arial" w:hAnsi="Arial" w:cs="Arial"/>
          <w:sz w:val="24"/>
          <w:szCs w:val="24"/>
          <w:lang w:eastAsia="pl-PL"/>
        </w:rPr>
        <w:t xml:space="preserve"> – cz</w:t>
      </w:r>
      <w:r>
        <w:rPr>
          <w:rFonts w:ascii="Arial" w:hAnsi="Arial" w:cs="Arial"/>
          <w:sz w:val="24"/>
          <w:szCs w:val="24"/>
          <w:lang w:eastAsia="pl-PL"/>
        </w:rPr>
        <w:t>ęść</w:t>
      </w:r>
      <w:r w:rsidRPr="00313884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ogólna</w:t>
      </w:r>
      <w:r w:rsidRPr="00313884">
        <w:rPr>
          <w:rFonts w:ascii="Arial" w:hAnsi="Arial" w:cs="Arial"/>
          <w:sz w:val="24"/>
          <w:szCs w:val="24"/>
          <w:lang w:eastAsia="pl-PL"/>
        </w:rPr>
        <w:t xml:space="preserve">, red. </w:t>
      </w:r>
      <w:r>
        <w:rPr>
          <w:rFonts w:ascii="Arial" w:hAnsi="Arial" w:cs="Arial"/>
          <w:sz w:val="24"/>
          <w:szCs w:val="24"/>
          <w:lang w:eastAsia="pl-PL"/>
        </w:rPr>
        <w:t>E. Łętowska</w:t>
      </w:r>
      <w:r w:rsidRPr="00313884">
        <w:rPr>
          <w:rFonts w:ascii="Arial" w:hAnsi="Arial" w:cs="Arial"/>
          <w:sz w:val="24"/>
          <w:szCs w:val="24"/>
          <w:lang w:eastAsia="pl-PL"/>
        </w:rPr>
        <w:t xml:space="preserve">, Warszawa </w:t>
      </w:r>
      <w:r w:rsidR="00E834CA">
        <w:rPr>
          <w:rFonts w:ascii="Arial" w:hAnsi="Arial" w:cs="Arial"/>
          <w:sz w:val="24"/>
          <w:szCs w:val="24"/>
          <w:lang w:eastAsia="pl-PL"/>
        </w:rPr>
        <w:t>2014</w:t>
      </w:r>
    </w:p>
    <w:p w:rsidR="004348A6" w:rsidRPr="00313884" w:rsidRDefault="004348A6" w:rsidP="004348A6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3884">
        <w:rPr>
          <w:rFonts w:ascii="Arial" w:hAnsi="Arial" w:cs="Arial"/>
          <w:sz w:val="24"/>
          <w:szCs w:val="24"/>
          <w:lang w:eastAsia="pl-PL"/>
        </w:rPr>
        <w:t xml:space="preserve">Komentarze do </w:t>
      </w:r>
      <w:smartTag w:uri="lexAThandschemas/lexAThand" w:element="lexATakty">
        <w:smartTagPr>
          <w:attr w:name="DocIDENT" w:val="Dz.U.1964.16.93"/>
          <w:attr w:name="DOCTYPE" w:val="akt"/>
        </w:smartTagPr>
        <w:r w:rsidRPr="00313884">
          <w:rPr>
            <w:rFonts w:ascii="Arial" w:hAnsi="Arial" w:cs="Arial"/>
            <w:sz w:val="24"/>
            <w:szCs w:val="24"/>
            <w:lang w:eastAsia="pl-PL"/>
          </w:rPr>
          <w:t>kodeksu cywilnego</w:t>
        </w:r>
      </w:smartTag>
      <w:r w:rsidRPr="00313884">
        <w:rPr>
          <w:rFonts w:ascii="Arial" w:hAnsi="Arial" w:cs="Arial"/>
          <w:sz w:val="24"/>
          <w:szCs w:val="24"/>
          <w:lang w:eastAsia="pl-PL"/>
        </w:rPr>
        <w:t>, w szczególno</w:t>
      </w:r>
      <w:r>
        <w:rPr>
          <w:rFonts w:ascii="Arial" w:hAnsi="Arial" w:cs="Arial"/>
          <w:sz w:val="24"/>
          <w:szCs w:val="24"/>
          <w:lang w:eastAsia="pl-PL"/>
        </w:rPr>
        <w:t>ś</w:t>
      </w:r>
      <w:r w:rsidRPr="00313884">
        <w:rPr>
          <w:rFonts w:ascii="Arial" w:hAnsi="Arial" w:cs="Arial"/>
          <w:sz w:val="24"/>
          <w:szCs w:val="24"/>
          <w:lang w:eastAsia="pl-PL"/>
        </w:rPr>
        <w:t xml:space="preserve">ci do </w:t>
      </w:r>
      <w:smartTag w:uri="lexAThandschemas/lexAThand" w:element="lexATelementyStruktury">
        <w:smartTagPr>
          <w:attr w:name="CESCIWKA" w:val="a389"/>
          <w:attr w:name="DocIDENT" w:val="Dz.U.1964.16.93"/>
          <w:attr w:name="DOCTYPE" w:val="cesciwkaktu"/>
        </w:smartTagPr>
        <w:r w:rsidRPr="00313884">
          <w:rPr>
            <w:rFonts w:ascii="Arial" w:hAnsi="Arial" w:cs="Arial"/>
            <w:sz w:val="24"/>
            <w:szCs w:val="24"/>
            <w:lang w:eastAsia="pl-PL"/>
          </w:rPr>
          <w:t xml:space="preserve">art. </w:t>
        </w:r>
        <w:r>
          <w:rPr>
            <w:rFonts w:ascii="Arial" w:hAnsi="Arial" w:cs="Arial"/>
            <w:sz w:val="24"/>
            <w:szCs w:val="24"/>
            <w:lang w:eastAsia="pl-PL"/>
          </w:rPr>
          <w:t>389</w:t>
        </w:r>
        <w:r w:rsidRPr="00313884">
          <w:rPr>
            <w:rFonts w:ascii="Arial" w:hAnsi="Arial" w:cs="Arial"/>
            <w:sz w:val="24"/>
            <w:szCs w:val="24"/>
            <w:lang w:eastAsia="pl-PL"/>
          </w:rPr>
          <w:t xml:space="preserve"> </w:t>
        </w:r>
        <w:r>
          <w:rPr>
            <w:rFonts w:ascii="Arial" w:hAnsi="Arial" w:cs="Arial"/>
            <w:sz w:val="24"/>
            <w:szCs w:val="24"/>
            <w:lang w:eastAsia="pl-PL"/>
          </w:rPr>
          <w:t>k.c.</w:t>
        </w:r>
      </w:smartTag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13884">
        <w:rPr>
          <w:rFonts w:ascii="Arial" w:hAnsi="Arial" w:cs="Arial"/>
          <w:sz w:val="24"/>
          <w:szCs w:val="24"/>
          <w:lang w:eastAsia="pl-PL"/>
        </w:rPr>
        <w:t>i</w:t>
      </w:r>
      <w:r w:rsidR="004C315D">
        <w:rPr>
          <w:rFonts w:ascii="Arial" w:hAnsi="Arial" w:cs="Arial"/>
          <w:sz w:val="24"/>
          <w:szCs w:val="24"/>
          <w:lang w:eastAsia="pl-PL"/>
        </w:rPr>
        <w:t xml:space="preserve"> nast.</w:t>
      </w:r>
    </w:p>
    <w:p w:rsidR="00DF07BC" w:rsidRDefault="00DF07BC" w:rsidP="00E76DDE">
      <w:pPr>
        <w:spacing w:after="6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pl-PL"/>
        </w:rPr>
      </w:pPr>
    </w:p>
    <w:p w:rsidR="00DF07BC" w:rsidRDefault="00DF07BC" w:rsidP="00E76DDE">
      <w:pPr>
        <w:spacing w:after="6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pl-PL"/>
        </w:rPr>
      </w:pPr>
    </w:p>
    <w:p w:rsidR="00DF07BC" w:rsidRDefault="00DF07BC" w:rsidP="00E76DDE">
      <w:pPr>
        <w:spacing w:after="6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pl-PL"/>
        </w:rPr>
      </w:pPr>
    </w:p>
    <w:p w:rsidR="00E76DDE" w:rsidRPr="00313884" w:rsidRDefault="00E76DDE" w:rsidP="00E76DDE">
      <w:pPr>
        <w:spacing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Wybrane orzeczenia:</w:t>
      </w:r>
    </w:p>
    <w:p w:rsidR="008C3F6F" w:rsidRDefault="008C3F6F" w:rsidP="008C3F6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8C3F6F" w:rsidRPr="000B5EE2" w:rsidRDefault="008C3F6F" w:rsidP="008C3F6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63F7C">
        <w:rPr>
          <w:rFonts w:ascii="Arial" w:hAnsi="Arial" w:cs="Arial"/>
          <w:bCs/>
          <w:sz w:val="24"/>
          <w:szCs w:val="24"/>
        </w:rPr>
        <w:t>Wyrok</w:t>
      </w:r>
      <w:r w:rsidRPr="000B5EE2">
        <w:rPr>
          <w:rFonts w:ascii="Arial" w:hAnsi="Arial" w:cs="Arial"/>
          <w:sz w:val="24"/>
          <w:szCs w:val="24"/>
        </w:rPr>
        <w:t xml:space="preserve"> </w:t>
      </w:r>
      <w:r w:rsidRPr="00163F7C">
        <w:rPr>
          <w:rFonts w:ascii="Arial" w:hAnsi="Arial" w:cs="Arial"/>
          <w:sz w:val="24"/>
          <w:szCs w:val="24"/>
        </w:rPr>
        <w:t>Sądu Najwyższego</w:t>
      </w:r>
      <w:r w:rsidRPr="000B5EE2">
        <w:rPr>
          <w:rFonts w:ascii="Arial" w:hAnsi="Arial" w:cs="Arial"/>
          <w:sz w:val="24"/>
          <w:szCs w:val="24"/>
        </w:rPr>
        <w:t xml:space="preserve"> </w:t>
      </w:r>
      <w:r w:rsidRPr="00163F7C">
        <w:rPr>
          <w:rFonts w:ascii="Arial" w:hAnsi="Arial" w:cs="Arial"/>
          <w:sz w:val="24"/>
          <w:szCs w:val="24"/>
        </w:rPr>
        <w:t>z dnia 28 października 2010 r.</w:t>
      </w:r>
      <w:r w:rsidRPr="000B5EE2">
        <w:rPr>
          <w:rFonts w:ascii="Arial" w:hAnsi="Arial" w:cs="Arial"/>
          <w:sz w:val="24"/>
          <w:szCs w:val="24"/>
        </w:rPr>
        <w:t xml:space="preserve">, sygn. </w:t>
      </w:r>
      <w:smartTag w:uri="lexAThandschemas/lexAThand" w:element="lexATorzeczenia">
        <w:smartTagPr>
          <w:attr w:name="WydIDENT" w:val="II CSK"/>
          <w:attr w:name="DocIDENT" w:val="II CSK 219/10"/>
          <w:attr w:name="DOCTYPE" w:val="orzeczenie"/>
        </w:smartTagPr>
        <w:r w:rsidRPr="00163F7C">
          <w:rPr>
            <w:rFonts w:ascii="Arial" w:hAnsi="Arial" w:cs="Arial"/>
            <w:bCs/>
            <w:sz w:val="24"/>
            <w:szCs w:val="24"/>
          </w:rPr>
          <w:t xml:space="preserve">II CSK </w:t>
        </w:r>
        <w:smartTag w:uri="lexAThandschemas/lexAThand" w:element="lexATorzeczenia">
          <w:smartTagPr>
            <w:attr w:name="DocIDENT" w:val="219/10"/>
            <w:attr w:name="DOCTYPE" w:val="orzeczenie"/>
          </w:smartTagPr>
          <w:r w:rsidRPr="00163F7C">
            <w:rPr>
              <w:rFonts w:ascii="Arial" w:hAnsi="Arial" w:cs="Arial"/>
              <w:bCs/>
              <w:sz w:val="24"/>
              <w:szCs w:val="24"/>
            </w:rPr>
            <w:t>219/10</w:t>
          </w:r>
        </w:smartTag>
      </w:smartTag>
      <w:r>
        <w:rPr>
          <w:rFonts w:ascii="Arial" w:hAnsi="Arial" w:cs="Arial"/>
          <w:bCs/>
          <w:sz w:val="24"/>
          <w:szCs w:val="24"/>
        </w:rPr>
        <w:t>;</w:t>
      </w:r>
    </w:p>
    <w:p w:rsidR="008C3F6F" w:rsidRPr="000B5EE2" w:rsidRDefault="008C3F6F" w:rsidP="008C3F6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63F7C">
        <w:rPr>
          <w:rFonts w:ascii="Arial" w:hAnsi="Arial" w:cs="Arial"/>
          <w:bCs/>
          <w:sz w:val="24"/>
          <w:szCs w:val="24"/>
        </w:rPr>
        <w:t>Wyrok</w:t>
      </w:r>
      <w:r w:rsidRPr="000B5EE2">
        <w:rPr>
          <w:rFonts w:ascii="Arial" w:hAnsi="Arial" w:cs="Arial"/>
          <w:sz w:val="24"/>
          <w:szCs w:val="24"/>
        </w:rPr>
        <w:t xml:space="preserve"> </w:t>
      </w:r>
      <w:r w:rsidRPr="00163F7C">
        <w:rPr>
          <w:rFonts w:ascii="Arial" w:hAnsi="Arial" w:cs="Arial"/>
          <w:sz w:val="24"/>
          <w:szCs w:val="24"/>
        </w:rPr>
        <w:t>Sądu Najwyższego</w:t>
      </w:r>
      <w:r w:rsidRPr="000B5EE2">
        <w:rPr>
          <w:rFonts w:ascii="Arial" w:hAnsi="Arial" w:cs="Arial"/>
          <w:sz w:val="24"/>
          <w:szCs w:val="24"/>
        </w:rPr>
        <w:t xml:space="preserve"> </w:t>
      </w:r>
      <w:r w:rsidRPr="00163F7C">
        <w:rPr>
          <w:rFonts w:ascii="Arial" w:hAnsi="Arial" w:cs="Arial"/>
          <w:sz w:val="24"/>
          <w:szCs w:val="24"/>
        </w:rPr>
        <w:t>z dnia 16 września 2010 r.</w:t>
      </w:r>
      <w:r w:rsidRPr="000B5EE2">
        <w:rPr>
          <w:rFonts w:ascii="Arial" w:hAnsi="Arial" w:cs="Arial"/>
          <w:sz w:val="24"/>
          <w:szCs w:val="24"/>
        </w:rPr>
        <w:t xml:space="preserve">, sygn.  </w:t>
      </w:r>
      <w:smartTag w:uri="lexAThandschemas/lexAThand" w:element="lexATorzeczenia">
        <w:smartTagPr>
          <w:attr w:name="WydIDENT" w:val="III CSK"/>
          <w:attr w:name="DocIDENT" w:val="III CSK 289/09"/>
          <w:attr w:name="DOCTYPE" w:val="orzeczenie"/>
        </w:smartTagPr>
        <w:r w:rsidRPr="00163F7C">
          <w:rPr>
            <w:rFonts w:ascii="Arial" w:hAnsi="Arial" w:cs="Arial"/>
            <w:bCs/>
            <w:sz w:val="24"/>
            <w:szCs w:val="24"/>
          </w:rPr>
          <w:t xml:space="preserve">III CSK </w:t>
        </w:r>
        <w:smartTag w:uri="lexAThandschemas/lexAThand" w:element="lexATorzeczenia">
          <w:smartTagPr>
            <w:attr w:name="DocIDENT" w:val="289/09"/>
            <w:attr w:name="DOCTYPE" w:val="orzeczenie"/>
          </w:smartTagPr>
          <w:r w:rsidRPr="00163F7C">
            <w:rPr>
              <w:rFonts w:ascii="Arial" w:hAnsi="Arial" w:cs="Arial"/>
              <w:bCs/>
              <w:sz w:val="24"/>
              <w:szCs w:val="24"/>
            </w:rPr>
            <w:t>289/09</w:t>
          </w:r>
        </w:smartTag>
      </w:smartTag>
      <w:r>
        <w:rPr>
          <w:rFonts w:ascii="Arial" w:hAnsi="Arial" w:cs="Arial"/>
          <w:bCs/>
          <w:sz w:val="24"/>
          <w:szCs w:val="24"/>
        </w:rPr>
        <w:t>;</w:t>
      </w:r>
    </w:p>
    <w:p w:rsidR="008C3F6F" w:rsidRPr="000B5EE2" w:rsidRDefault="008C3F6F" w:rsidP="008C3F6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63F7C">
        <w:rPr>
          <w:rFonts w:ascii="Arial" w:hAnsi="Arial" w:cs="Arial"/>
          <w:bCs/>
          <w:sz w:val="24"/>
          <w:szCs w:val="24"/>
        </w:rPr>
        <w:t>Wyrok</w:t>
      </w:r>
      <w:r w:rsidRPr="000B5EE2">
        <w:rPr>
          <w:rFonts w:ascii="Arial" w:hAnsi="Arial" w:cs="Arial"/>
          <w:sz w:val="24"/>
          <w:szCs w:val="24"/>
        </w:rPr>
        <w:t xml:space="preserve"> </w:t>
      </w:r>
      <w:r w:rsidRPr="00163F7C">
        <w:rPr>
          <w:rFonts w:ascii="Arial" w:hAnsi="Arial" w:cs="Arial"/>
          <w:sz w:val="24"/>
          <w:szCs w:val="24"/>
        </w:rPr>
        <w:t>Sądu Najwyższego</w:t>
      </w:r>
      <w:r w:rsidRPr="000B5EE2">
        <w:rPr>
          <w:rFonts w:ascii="Arial" w:hAnsi="Arial" w:cs="Arial"/>
          <w:sz w:val="24"/>
          <w:szCs w:val="24"/>
        </w:rPr>
        <w:t xml:space="preserve"> </w:t>
      </w:r>
      <w:r w:rsidRPr="00163F7C">
        <w:rPr>
          <w:rFonts w:ascii="Arial" w:hAnsi="Arial" w:cs="Arial"/>
          <w:sz w:val="24"/>
          <w:szCs w:val="24"/>
        </w:rPr>
        <w:t>z dnia 18 marca 2010 r.</w:t>
      </w:r>
      <w:r w:rsidRPr="000B5EE2">
        <w:rPr>
          <w:rFonts w:ascii="Arial" w:hAnsi="Arial" w:cs="Arial"/>
          <w:sz w:val="24"/>
          <w:szCs w:val="24"/>
        </w:rPr>
        <w:t xml:space="preserve">, sygn. </w:t>
      </w:r>
      <w:smartTag w:uri="lexAThandschemas/lexAThand" w:element="lexATorzeczenia">
        <w:smartTagPr>
          <w:attr w:name="WydIDENT" w:val="V CSK"/>
          <w:attr w:name="DocIDENT" w:val="V CSK 319/09"/>
          <w:attr w:name="DOCTYPE" w:val="orzeczenie"/>
        </w:smartTagPr>
        <w:r w:rsidRPr="00163F7C">
          <w:rPr>
            <w:rFonts w:ascii="Arial" w:hAnsi="Arial" w:cs="Arial"/>
            <w:bCs/>
            <w:sz w:val="24"/>
            <w:szCs w:val="24"/>
          </w:rPr>
          <w:t xml:space="preserve">V CSK </w:t>
        </w:r>
        <w:smartTag w:uri="lexAThandschemas/lexAThand" w:element="lexATorzeczenia">
          <w:smartTagPr>
            <w:attr w:name="DocIDENT" w:val="319/09"/>
            <w:attr w:name="DOCTYPE" w:val="orzeczenie"/>
          </w:smartTagPr>
          <w:r w:rsidRPr="00163F7C">
            <w:rPr>
              <w:rFonts w:ascii="Arial" w:hAnsi="Arial" w:cs="Arial"/>
              <w:bCs/>
              <w:sz w:val="24"/>
              <w:szCs w:val="24"/>
            </w:rPr>
            <w:t>319/09</w:t>
          </w:r>
        </w:smartTag>
      </w:smartTag>
      <w:r>
        <w:rPr>
          <w:rFonts w:ascii="Arial" w:hAnsi="Arial" w:cs="Arial"/>
          <w:bCs/>
          <w:sz w:val="24"/>
          <w:szCs w:val="24"/>
        </w:rPr>
        <w:t>;</w:t>
      </w:r>
      <w:r w:rsidRPr="000B5EE2">
        <w:rPr>
          <w:rFonts w:ascii="Arial" w:hAnsi="Arial" w:cs="Arial"/>
          <w:bCs/>
          <w:sz w:val="24"/>
          <w:szCs w:val="24"/>
        </w:rPr>
        <w:t xml:space="preserve"> </w:t>
      </w:r>
    </w:p>
    <w:p w:rsidR="008C3F6F" w:rsidRPr="000B5EE2" w:rsidRDefault="008C3F6F" w:rsidP="008C3F6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F18C8">
        <w:rPr>
          <w:rFonts w:ascii="Arial" w:hAnsi="Arial" w:cs="Arial"/>
          <w:bCs/>
          <w:sz w:val="24"/>
          <w:szCs w:val="24"/>
        </w:rPr>
        <w:t>Wyrok</w:t>
      </w:r>
      <w:r w:rsidRPr="000B5EE2">
        <w:rPr>
          <w:rFonts w:ascii="Arial" w:hAnsi="Arial" w:cs="Arial"/>
          <w:bCs/>
          <w:sz w:val="24"/>
          <w:szCs w:val="24"/>
        </w:rPr>
        <w:t xml:space="preserve"> </w:t>
      </w:r>
      <w:r w:rsidRPr="000F18C8">
        <w:rPr>
          <w:rFonts w:ascii="Arial" w:hAnsi="Arial" w:cs="Arial"/>
          <w:sz w:val="24"/>
          <w:szCs w:val="24"/>
        </w:rPr>
        <w:t>Sądu Najwyższego</w:t>
      </w:r>
      <w:r w:rsidRPr="000B5EE2">
        <w:rPr>
          <w:rFonts w:ascii="Arial" w:hAnsi="Arial" w:cs="Arial"/>
          <w:bCs/>
          <w:sz w:val="24"/>
          <w:szCs w:val="24"/>
        </w:rPr>
        <w:t xml:space="preserve"> </w:t>
      </w:r>
      <w:r w:rsidRPr="000F18C8">
        <w:rPr>
          <w:rFonts w:ascii="Arial" w:hAnsi="Arial" w:cs="Arial"/>
          <w:sz w:val="24"/>
          <w:szCs w:val="24"/>
        </w:rPr>
        <w:t>z dnia 11 marca 2010 r.</w:t>
      </w:r>
      <w:r w:rsidRPr="000B5EE2">
        <w:rPr>
          <w:rFonts w:ascii="Arial" w:hAnsi="Arial" w:cs="Arial"/>
          <w:sz w:val="24"/>
          <w:szCs w:val="24"/>
        </w:rPr>
        <w:t xml:space="preserve">, sygn. </w:t>
      </w:r>
      <w:r w:rsidRPr="000B5EE2">
        <w:rPr>
          <w:rFonts w:ascii="Arial" w:hAnsi="Arial" w:cs="Arial"/>
          <w:bCs/>
          <w:sz w:val="24"/>
          <w:szCs w:val="24"/>
        </w:rPr>
        <w:t xml:space="preserve"> </w:t>
      </w:r>
      <w:smartTag w:uri="lexAThandschemas/lexAThand" w:element="lexATorzeczenia">
        <w:smartTagPr>
          <w:attr w:name="WydIDENT" w:val="IV CSK"/>
          <w:attr w:name="DocIDENT" w:val="IV CSK 418/09"/>
          <w:attr w:name="DOCTYPE" w:val="orzeczenie"/>
        </w:smartTagPr>
        <w:r w:rsidRPr="000F18C8">
          <w:rPr>
            <w:rFonts w:ascii="Arial" w:hAnsi="Arial" w:cs="Arial"/>
            <w:bCs/>
            <w:sz w:val="24"/>
            <w:szCs w:val="24"/>
          </w:rPr>
          <w:t xml:space="preserve">IV CSK </w:t>
        </w:r>
        <w:smartTag w:uri="lexAThandschemas/lexAThand" w:element="lexATorzeczenia">
          <w:smartTagPr>
            <w:attr w:name="DocIDENT" w:val="418/09"/>
            <w:attr w:name="DOCTYPE" w:val="orzeczenie"/>
          </w:smartTagPr>
          <w:r w:rsidRPr="000F18C8">
            <w:rPr>
              <w:rFonts w:ascii="Arial" w:hAnsi="Arial" w:cs="Arial"/>
              <w:bCs/>
              <w:sz w:val="24"/>
              <w:szCs w:val="24"/>
            </w:rPr>
            <w:t>418/09</w:t>
          </w:r>
        </w:smartTag>
      </w:smartTag>
      <w:r>
        <w:rPr>
          <w:rFonts w:ascii="Arial" w:hAnsi="Arial" w:cs="Arial"/>
          <w:bCs/>
          <w:sz w:val="24"/>
          <w:szCs w:val="24"/>
        </w:rPr>
        <w:t>;</w:t>
      </w:r>
    </w:p>
    <w:p w:rsidR="008C3F6F" w:rsidRPr="000B5EE2" w:rsidRDefault="008C3F6F" w:rsidP="008C3F6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F18C8">
        <w:rPr>
          <w:rFonts w:ascii="Arial" w:hAnsi="Arial" w:cs="Arial"/>
          <w:bCs/>
          <w:sz w:val="24"/>
          <w:szCs w:val="24"/>
        </w:rPr>
        <w:t>Wyrok</w:t>
      </w:r>
      <w:r w:rsidRPr="000B5EE2">
        <w:rPr>
          <w:rFonts w:ascii="Arial" w:hAnsi="Arial" w:cs="Arial"/>
          <w:sz w:val="24"/>
          <w:szCs w:val="24"/>
        </w:rPr>
        <w:t xml:space="preserve"> </w:t>
      </w:r>
      <w:r w:rsidRPr="000F18C8">
        <w:rPr>
          <w:rFonts w:ascii="Arial" w:hAnsi="Arial" w:cs="Arial"/>
          <w:sz w:val="24"/>
          <w:szCs w:val="24"/>
        </w:rPr>
        <w:t>Sądu Najwyższego</w:t>
      </w:r>
      <w:r w:rsidRPr="000B5EE2">
        <w:rPr>
          <w:rFonts w:ascii="Arial" w:hAnsi="Arial" w:cs="Arial"/>
          <w:sz w:val="24"/>
          <w:szCs w:val="24"/>
        </w:rPr>
        <w:t xml:space="preserve"> </w:t>
      </w:r>
      <w:r w:rsidRPr="000F18C8">
        <w:rPr>
          <w:rFonts w:ascii="Arial" w:hAnsi="Arial" w:cs="Arial"/>
          <w:sz w:val="24"/>
          <w:szCs w:val="24"/>
        </w:rPr>
        <w:t>z dnia 21 stycznia 2010 r.</w:t>
      </w:r>
      <w:r w:rsidRPr="000B5EE2">
        <w:rPr>
          <w:rFonts w:ascii="Arial" w:hAnsi="Arial" w:cs="Arial"/>
          <w:sz w:val="24"/>
          <w:szCs w:val="24"/>
        </w:rPr>
        <w:t xml:space="preserve">, sygn. </w:t>
      </w:r>
      <w:smartTag w:uri="lexAThandschemas/lexAThand" w:element="lexATorzeczenia">
        <w:smartTagPr>
          <w:attr w:name="WydIDENT" w:val="I CSK"/>
          <w:attr w:name="DocIDENT" w:val="I CSK 239/09"/>
          <w:attr w:name="DOCTYPE" w:val="orzeczenie"/>
        </w:smartTagPr>
        <w:r w:rsidRPr="000F18C8">
          <w:rPr>
            <w:rFonts w:ascii="Arial" w:hAnsi="Arial" w:cs="Arial"/>
            <w:bCs/>
            <w:sz w:val="24"/>
            <w:szCs w:val="24"/>
          </w:rPr>
          <w:t xml:space="preserve">I CSK </w:t>
        </w:r>
        <w:smartTag w:uri="lexAThandschemas/lexAThand" w:element="lexATorzeczenia">
          <w:smartTagPr>
            <w:attr w:name="DocIDENT" w:val="239/09"/>
            <w:attr w:name="DOCTYPE" w:val="orzeczenie"/>
          </w:smartTagPr>
          <w:r w:rsidRPr="000F18C8">
            <w:rPr>
              <w:rFonts w:ascii="Arial" w:hAnsi="Arial" w:cs="Arial"/>
              <w:bCs/>
              <w:sz w:val="24"/>
              <w:szCs w:val="24"/>
            </w:rPr>
            <w:t>239/09</w:t>
          </w:r>
        </w:smartTag>
      </w:smartTag>
      <w:r>
        <w:rPr>
          <w:rFonts w:ascii="Arial" w:hAnsi="Arial" w:cs="Arial"/>
          <w:bCs/>
          <w:sz w:val="24"/>
          <w:szCs w:val="24"/>
        </w:rPr>
        <w:t>;</w:t>
      </w:r>
    </w:p>
    <w:p w:rsidR="008C3F6F" w:rsidRPr="000F18C8" w:rsidRDefault="008C3F6F" w:rsidP="008C3F6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F18C8">
        <w:rPr>
          <w:rFonts w:ascii="Arial" w:hAnsi="Arial" w:cs="Arial"/>
          <w:bCs/>
          <w:sz w:val="24"/>
          <w:szCs w:val="24"/>
        </w:rPr>
        <w:t>Wyrok</w:t>
      </w:r>
      <w:r w:rsidRPr="000B5EE2">
        <w:rPr>
          <w:rFonts w:ascii="Arial" w:hAnsi="Arial" w:cs="Arial"/>
          <w:sz w:val="24"/>
          <w:szCs w:val="24"/>
        </w:rPr>
        <w:t xml:space="preserve"> </w:t>
      </w:r>
      <w:r w:rsidRPr="000F18C8">
        <w:rPr>
          <w:rFonts w:ascii="Arial" w:hAnsi="Arial" w:cs="Arial"/>
          <w:sz w:val="24"/>
          <w:szCs w:val="24"/>
        </w:rPr>
        <w:t>Sądu Najwyższego</w:t>
      </w:r>
      <w:r w:rsidRPr="000B5EE2">
        <w:rPr>
          <w:rFonts w:ascii="Arial" w:hAnsi="Arial" w:cs="Arial"/>
          <w:sz w:val="24"/>
          <w:szCs w:val="24"/>
        </w:rPr>
        <w:t xml:space="preserve"> </w:t>
      </w:r>
      <w:r w:rsidRPr="000F18C8">
        <w:rPr>
          <w:rFonts w:ascii="Arial" w:hAnsi="Arial" w:cs="Arial"/>
          <w:sz w:val="24"/>
          <w:szCs w:val="24"/>
        </w:rPr>
        <w:t>z dnia 10 października 2008 r.</w:t>
      </w:r>
      <w:r w:rsidRPr="000B5EE2">
        <w:rPr>
          <w:rFonts w:ascii="Arial" w:hAnsi="Arial" w:cs="Arial"/>
          <w:sz w:val="24"/>
          <w:szCs w:val="24"/>
        </w:rPr>
        <w:t xml:space="preserve">, sygn. </w:t>
      </w:r>
      <w:smartTag w:uri="lexAThandschemas/lexAThand" w:element="lexATorzeczenia">
        <w:smartTagPr>
          <w:attr w:name="WydIDENT" w:val="II CSK"/>
          <w:attr w:name="DocIDENT" w:val="II CSK 215/08"/>
          <w:attr w:name="DOCTYPE" w:val="orzeczenie"/>
        </w:smartTagPr>
        <w:r w:rsidRPr="000F18C8">
          <w:rPr>
            <w:rFonts w:ascii="Arial" w:hAnsi="Arial" w:cs="Arial"/>
            <w:bCs/>
            <w:sz w:val="24"/>
            <w:szCs w:val="24"/>
          </w:rPr>
          <w:t xml:space="preserve">II CSK </w:t>
        </w:r>
        <w:smartTag w:uri="lexAThandschemas/lexAThand" w:element="lexATorzeczenia">
          <w:smartTagPr>
            <w:attr w:name="DocIDENT" w:val="215/08"/>
            <w:attr w:name="DOCTYPE" w:val="orzeczenie"/>
          </w:smartTagPr>
          <w:r w:rsidRPr="000F18C8">
            <w:rPr>
              <w:rFonts w:ascii="Arial" w:hAnsi="Arial" w:cs="Arial"/>
              <w:bCs/>
              <w:sz w:val="24"/>
              <w:szCs w:val="24"/>
            </w:rPr>
            <w:t>215/08</w:t>
          </w:r>
        </w:smartTag>
      </w:smartTag>
      <w:r>
        <w:rPr>
          <w:rFonts w:ascii="Arial" w:hAnsi="Arial" w:cs="Arial"/>
          <w:bCs/>
          <w:sz w:val="24"/>
          <w:szCs w:val="24"/>
        </w:rPr>
        <w:t>;</w:t>
      </w:r>
    </w:p>
    <w:p w:rsidR="008C3F6F" w:rsidRPr="000B5EE2" w:rsidRDefault="008C3F6F" w:rsidP="008C3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5EE2">
        <w:rPr>
          <w:rFonts w:ascii="Arial" w:hAnsi="Arial" w:cs="Arial"/>
          <w:bCs/>
          <w:sz w:val="24"/>
          <w:szCs w:val="24"/>
        </w:rPr>
        <w:t>Wyrok</w:t>
      </w:r>
      <w:r w:rsidRPr="000B5EE2">
        <w:rPr>
          <w:rFonts w:ascii="Arial" w:hAnsi="Arial" w:cs="Arial"/>
          <w:sz w:val="24"/>
          <w:szCs w:val="24"/>
        </w:rPr>
        <w:t xml:space="preserve"> Sądu Apelacyjnego w Katowicach z dnia 23 lutego 1994 </w:t>
      </w:r>
      <w:proofErr w:type="spellStart"/>
      <w:r w:rsidRPr="000B5EE2">
        <w:rPr>
          <w:rFonts w:ascii="Arial" w:hAnsi="Arial" w:cs="Arial"/>
          <w:sz w:val="24"/>
          <w:szCs w:val="24"/>
        </w:rPr>
        <w:t>r.</w:t>
      </w:r>
      <w:smartTag w:uri="lexAThandschemas/lexAThand" w:element="lexATorzeczenia">
        <w:smartTagPr>
          <w:attr w:name="WydIDENT" w:val="I ACr"/>
          <w:attr w:name="DocIDENT" w:val="I ACr 36/94"/>
          <w:attr w:name="DOCTYPE" w:val="orzeczenie"/>
        </w:smartTagPr>
        <w:r w:rsidRPr="000B5EE2">
          <w:rPr>
            <w:rFonts w:ascii="Arial" w:hAnsi="Arial" w:cs="Arial"/>
            <w:bCs/>
            <w:sz w:val="24"/>
            <w:szCs w:val="24"/>
          </w:rPr>
          <w:t>I</w:t>
        </w:r>
        <w:proofErr w:type="spellEnd"/>
        <w:r w:rsidRPr="000B5EE2">
          <w:rPr>
            <w:rFonts w:ascii="Arial" w:hAnsi="Arial" w:cs="Arial"/>
            <w:bCs/>
            <w:sz w:val="24"/>
            <w:szCs w:val="24"/>
          </w:rPr>
          <w:t xml:space="preserve"> </w:t>
        </w:r>
        <w:proofErr w:type="spellStart"/>
        <w:r w:rsidRPr="000B5EE2">
          <w:rPr>
            <w:rFonts w:ascii="Arial" w:hAnsi="Arial" w:cs="Arial"/>
            <w:bCs/>
            <w:sz w:val="24"/>
            <w:szCs w:val="24"/>
          </w:rPr>
          <w:t>ACr</w:t>
        </w:r>
        <w:proofErr w:type="spellEnd"/>
        <w:r w:rsidRPr="000B5EE2">
          <w:rPr>
            <w:rFonts w:ascii="Arial" w:hAnsi="Arial" w:cs="Arial"/>
            <w:bCs/>
            <w:sz w:val="24"/>
            <w:szCs w:val="24"/>
          </w:rPr>
          <w:t xml:space="preserve"> </w:t>
        </w:r>
        <w:smartTag w:uri="lexAThandschemas/lexAThand" w:element="lexATorzeczenia">
          <w:smartTagPr>
            <w:attr w:name="DocIDENT" w:val="36/94"/>
            <w:attr w:name="DOCTYPE" w:val="orzeczenie"/>
          </w:smartTagPr>
          <w:r w:rsidRPr="000B5EE2">
            <w:rPr>
              <w:rFonts w:ascii="Arial" w:hAnsi="Arial" w:cs="Arial"/>
              <w:bCs/>
              <w:sz w:val="24"/>
              <w:szCs w:val="24"/>
            </w:rPr>
            <w:t>36/94</w:t>
          </w:r>
        </w:smartTag>
      </w:smartTag>
      <w:r>
        <w:rPr>
          <w:rFonts w:ascii="Arial" w:hAnsi="Arial" w:cs="Arial"/>
          <w:bCs/>
          <w:sz w:val="24"/>
          <w:szCs w:val="24"/>
        </w:rPr>
        <w:t>.</w:t>
      </w:r>
    </w:p>
    <w:p w:rsidR="004348A6" w:rsidRPr="00313884" w:rsidRDefault="004348A6" w:rsidP="004348A6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E69C6" w:rsidRDefault="009E69C6" w:rsidP="00634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69C6" w:rsidRDefault="009E69C6" w:rsidP="00634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0B2" w:rsidRPr="009E10B2" w:rsidRDefault="009E10B2" w:rsidP="009E10B2">
      <w:pPr>
        <w:spacing w:after="6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9E10B2">
        <w:rPr>
          <w:rFonts w:ascii="Arial" w:eastAsia="Times New Roman" w:hAnsi="Arial" w:cs="Arial"/>
          <w:i/>
          <w:sz w:val="28"/>
          <w:szCs w:val="28"/>
          <w:lang w:eastAsia="pl-PL"/>
        </w:rPr>
        <w:t>Zagadnienia do przygotowania</w:t>
      </w:r>
    </w:p>
    <w:p w:rsidR="009E10B2" w:rsidRPr="00B72A2D" w:rsidRDefault="009E10B2" w:rsidP="009E10B2">
      <w:pPr>
        <w:spacing w:after="6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9E10B2" w:rsidRDefault="008C3F6F" w:rsidP="009E1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Kazus </w:t>
      </w:r>
    </w:p>
    <w:p w:rsidR="009E69C6" w:rsidRDefault="009E69C6" w:rsidP="009E1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E69C6" w:rsidRPr="002304CC" w:rsidRDefault="00DF76B6" w:rsidP="002304CC">
      <w:pPr>
        <w:tabs>
          <w:tab w:val="right" w:leader="hyphen" w:pos="9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04CC">
        <w:rPr>
          <w:rFonts w:ascii="Arial" w:hAnsi="Arial" w:cs="Arial"/>
          <w:sz w:val="24"/>
          <w:szCs w:val="24"/>
        </w:rPr>
        <w:t xml:space="preserve">W księdze wieczystej </w:t>
      </w:r>
      <w:r w:rsidRPr="002304CC">
        <w:rPr>
          <w:rFonts w:ascii="Arial" w:hAnsi="Arial" w:cs="Arial"/>
          <w:bCs/>
          <w:sz w:val="24"/>
          <w:szCs w:val="24"/>
        </w:rPr>
        <w:t>KA1K/0007777/9</w:t>
      </w:r>
      <w:r w:rsidRPr="002304C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04CC">
        <w:rPr>
          <w:rFonts w:ascii="Arial" w:hAnsi="Arial" w:cs="Arial"/>
          <w:sz w:val="24"/>
          <w:szCs w:val="24"/>
        </w:rPr>
        <w:t xml:space="preserve">prowadzonej przez Sąd Rejonowy Katowice-Wschód w Katowicach XI Wydział Ksiąg Wieczystych dla spółdzielczego własnościowego prawa do lokalu mieszkalnego oznaczonego numerem 8 (trzy), usytuowanego na trzeciej kondygnacji budynku położonego w Katowicach przy ulicy </w:t>
      </w:r>
      <w:r w:rsidR="002304CC" w:rsidRPr="002304CC">
        <w:rPr>
          <w:rFonts w:ascii="Arial" w:hAnsi="Arial" w:cs="Arial"/>
          <w:sz w:val="24"/>
          <w:szCs w:val="24"/>
        </w:rPr>
        <w:t>Zamorskiej</w:t>
      </w:r>
      <w:r w:rsidRPr="002304CC">
        <w:rPr>
          <w:rFonts w:ascii="Arial" w:hAnsi="Arial" w:cs="Arial"/>
          <w:sz w:val="24"/>
          <w:szCs w:val="24"/>
        </w:rPr>
        <w:t xml:space="preserve"> numer </w:t>
      </w:r>
      <w:r w:rsidR="002304CC" w:rsidRPr="002304CC">
        <w:rPr>
          <w:rFonts w:ascii="Arial" w:hAnsi="Arial" w:cs="Arial"/>
          <w:sz w:val="24"/>
          <w:szCs w:val="24"/>
        </w:rPr>
        <w:t>89</w:t>
      </w:r>
      <w:r w:rsidRPr="002304CC">
        <w:rPr>
          <w:rFonts w:ascii="Arial" w:hAnsi="Arial" w:cs="Arial"/>
          <w:sz w:val="24"/>
          <w:szCs w:val="24"/>
        </w:rPr>
        <w:t xml:space="preserve">A, składającego się z czterech pokoi, kuchni, łazienki, </w:t>
      </w:r>
      <w:proofErr w:type="spellStart"/>
      <w:r w:rsidRPr="002304CC">
        <w:rPr>
          <w:rFonts w:ascii="Arial" w:hAnsi="Arial" w:cs="Arial"/>
          <w:sz w:val="24"/>
          <w:szCs w:val="24"/>
        </w:rPr>
        <w:t>wc</w:t>
      </w:r>
      <w:proofErr w:type="spellEnd"/>
      <w:r w:rsidRPr="002304CC">
        <w:rPr>
          <w:rFonts w:ascii="Arial" w:hAnsi="Arial" w:cs="Arial"/>
          <w:sz w:val="24"/>
          <w:szCs w:val="24"/>
        </w:rPr>
        <w:t xml:space="preserve"> oraz przedpokoju, o łącznej powierzchni użytkowej </w:t>
      </w:r>
      <w:r w:rsidR="002304CC" w:rsidRPr="002304CC">
        <w:rPr>
          <w:rFonts w:ascii="Arial" w:hAnsi="Arial" w:cs="Arial"/>
          <w:sz w:val="24"/>
          <w:szCs w:val="24"/>
        </w:rPr>
        <w:t>120</w:t>
      </w:r>
      <w:r w:rsidRPr="002304CC">
        <w:rPr>
          <w:rFonts w:ascii="Arial" w:hAnsi="Arial" w:cs="Arial"/>
          <w:sz w:val="24"/>
          <w:szCs w:val="24"/>
        </w:rPr>
        <w:t> m</w:t>
      </w:r>
      <w:r w:rsidRPr="002304CC">
        <w:rPr>
          <w:rFonts w:ascii="Arial" w:hAnsi="Arial" w:cs="Arial"/>
          <w:sz w:val="24"/>
          <w:szCs w:val="24"/>
          <w:vertAlign w:val="superscript"/>
        </w:rPr>
        <w:t>2</w:t>
      </w:r>
      <w:r w:rsidRPr="002304CC">
        <w:rPr>
          <w:rFonts w:ascii="Arial" w:hAnsi="Arial" w:cs="Arial"/>
          <w:sz w:val="24"/>
          <w:szCs w:val="24"/>
        </w:rPr>
        <w:t xml:space="preserve">, w budynku należącym do zasobów </w:t>
      </w:r>
      <w:r w:rsidR="002304CC" w:rsidRPr="002304CC">
        <w:rPr>
          <w:rFonts w:ascii="Arial" w:hAnsi="Arial" w:cs="Arial"/>
          <w:sz w:val="24"/>
          <w:szCs w:val="24"/>
        </w:rPr>
        <w:t>Śląskiej</w:t>
      </w:r>
      <w:r w:rsidRPr="002304CC">
        <w:rPr>
          <w:rFonts w:ascii="Arial" w:hAnsi="Arial" w:cs="Arial"/>
          <w:sz w:val="24"/>
          <w:szCs w:val="24"/>
        </w:rPr>
        <w:t xml:space="preserve"> Spółdzielni Mieszkaniowej w Katowicach, wpisane jest spółdzielcze własnościowe prawo do lokalu mieszkalnego na rzecz </w:t>
      </w:r>
      <w:r w:rsidR="002304CC" w:rsidRPr="002304CC">
        <w:rPr>
          <w:rFonts w:ascii="Arial" w:hAnsi="Arial" w:cs="Arial"/>
          <w:sz w:val="24"/>
          <w:szCs w:val="24"/>
        </w:rPr>
        <w:t>Jana Kowalskiego</w:t>
      </w:r>
      <w:r w:rsidRPr="002304CC">
        <w:rPr>
          <w:rFonts w:ascii="Arial" w:hAnsi="Arial" w:cs="Arial"/>
          <w:sz w:val="24"/>
          <w:szCs w:val="24"/>
        </w:rPr>
        <w:t>,</w:t>
      </w:r>
      <w:r w:rsidRPr="002304C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04CC">
        <w:rPr>
          <w:rFonts w:ascii="Arial" w:hAnsi="Arial" w:cs="Arial"/>
          <w:sz w:val="24"/>
          <w:szCs w:val="24"/>
        </w:rPr>
        <w:t xml:space="preserve">syna </w:t>
      </w:r>
      <w:r w:rsidR="002304CC" w:rsidRPr="002304CC">
        <w:rPr>
          <w:rFonts w:ascii="Arial" w:hAnsi="Arial" w:cs="Arial"/>
          <w:sz w:val="24"/>
          <w:szCs w:val="24"/>
        </w:rPr>
        <w:t>Lucj</w:t>
      </w:r>
      <w:r w:rsidRPr="002304CC">
        <w:rPr>
          <w:rFonts w:ascii="Arial" w:hAnsi="Arial" w:cs="Arial"/>
          <w:sz w:val="24"/>
          <w:szCs w:val="24"/>
        </w:rPr>
        <w:t>ana i Ma</w:t>
      </w:r>
      <w:r w:rsidR="002304CC" w:rsidRPr="002304CC">
        <w:rPr>
          <w:rFonts w:ascii="Arial" w:hAnsi="Arial" w:cs="Arial"/>
          <w:sz w:val="24"/>
          <w:szCs w:val="24"/>
        </w:rPr>
        <w:t>rii</w:t>
      </w:r>
      <w:r w:rsidRPr="002304CC">
        <w:rPr>
          <w:rFonts w:ascii="Arial" w:hAnsi="Arial" w:cs="Arial"/>
          <w:sz w:val="24"/>
          <w:szCs w:val="24"/>
        </w:rPr>
        <w:t xml:space="preserve">, na podstawie umowy sprzedaży z dnia </w:t>
      </w:r>
      <w:r w:rsidR="002304CC" w:rsidRPr="002304CC">
        <w:rPr>
          <w:rFonts w:ascii="Arial" w:hAnsi="Arial" w:cs="Arial"/>
          <w:sz w:val="24"/>
          <w:szCs w:val="24"/>
        </w:rPr>
        <w:t>20 czerwca 2006</w:t>
      </w:r>
      <w:r w:rsidRPr="002304CC">
        <w:rPr>
          <w:rFonts w:ascii="Arial" w:hAnsi="Arial" w:cs="Arial"/>
          <w:sz w:val="24"/>
          <w:szCs w:val="24"/>
        </w:rPr>
        <w:t xml:space="preserve"> roku, Rep.</w:t>
      </w:r>
      <w:r w:rsidR="002304CC" w:rsidRPr="002304CC">
        <w:rPr>
          <w:rFonts w:ascii="Arial" w:hAnsi="Arial" w:cs="Arial"/>
          <w:sz w:val="24"/>
          <w:szCs w:val="24"/>
        </w:rPr>
        <w:t xml:space="preserve"> </w:t>
      </w:r>
      <w:r w:rsidR="008E30D8">
        <w:rPr>
          <w:rFonts w:ascii="Arial" w:hAnsi="Arial" w:cs="Arial"/>
          <w:sz w:val="24"/>
          <w:szCs w:val="24"/>
        </w:rPr>
        <w:t>A nume</w:t>
      </w:r>
      <w:smartTag w:uri="lexAThandschemas/lexAThand" w:element="lexATorzeczenia">
        <w:smartTagPr>
          <w:attr w:name="WydIDENT" w:val="R"/>
          <w:attr w:name="DocIDENT" w:val="R 3285/20"/>
          <w:attr w:name="DOCTYPE" w:val="orzeczenie"/>
        </w:smartTagPr>
        <w:r w:rsidR="008E30D8">
          <w:rPr>
            <w:rFonts w:ascii="Arial" w:hAnsi="Arial" w:cs="Arial"/>
            <w:sz w:val="24"/>
            <w:szCs w:val="24"/>
          </w:rPr>
          <w:t>r 3285</w:t>
        </w:r>
        <w:r w:rsidRPr="002304CC">
          <w:rPr>
            <w:rFonts w:ascii="Arial" w:hAnsi="Arial" w:cs="Arial"/>
            <w:sz w:val="24"/>
            <w:szCs w:val="24"/>
          </w:rPr>
          <w:t>/20</w:t>
        </w:r>
      </w:smartTag>
      <w:r w:rsidR="008E30D8">
        <w:rPr>
          <w:rFonts w:ascii="Arial" w:hAnsi="Arial" w:cs="Arial"/>
          <w:sz w:val="24"/>
          <w:szCs w:val="24"/>
        </w:rPr>
        <w:t>06</w:t>
      </w:r>
      <w:r w:rsidRPr="002304CC">
        <w:rPr>
          <w:rFonts w:ascii="Arial" w:hAnsi="Arial" w:cs="Arial"/>
          <w:sz w:val="24"/>
          <w:szCs w:val="24"/>
        </w:rPr>
        <w:t xml:space="preserve"> Kancelarii Notarialnej w </w:t>
      </w:r>
      <w:r w:rsidR="002304CC" w:rsidRPr="002304CC">
        <w:rPr>
          <w:rFonts w:ascii="Arial" w:hAnsi="Arial" w:cs="Arial"/>
          <w:sz w:val="24"/>
          <w:szCs w:val="24"/>
        </w:rPr>
        <w:t>Katowicach</w:t>
      </w:r>
      <w:r w:rsidRPr="002304CC">
        <w:rPr>
          <w:rFonts w:ascii="Arial" w:hAnsi="Arial" w:cs="Arial"/>
          <w:sz w:val="24"/>
          <w:szCs w:val="24"/>
        </w:rPr>
        <w:t xml:space="preserve"> notariusza </w:t>
      </w:r>
      <w:r w:rsidR="002304CC" w:rsidRPr="002304CC">
        <w:rPr>
          <w:rFonts w:ascii="Arial" w:hAnsi="Arial" w:cs="Arial"/>
          <w:sz w:val="24"/>
          <w:szCs w:val="24"/>
        </w:rPr>
        <w:t>Jana Wiśniewskiego</w:t>
      </w:r>
      <w:r w:rsidRPr="002304CC">
        <w:rPr>
          <w:rFonts w:ascii="Arial" w:hAnsi="Arial" w:cs="Arial"/>
          <w:sz w:val="24"/>
          <w:szCs w:val="24"/>
        </w:rPr>
        <w:t>.</w:t>
      </w:r>
      <w:r w:rsidR="002304CC" w:rsidRPr="002304CC">
        <w:rPr>
          <w:rFonts w:ascii="Arial" w:hAnsi="Arial" w:cs="Arial"/>
          <w:sz w:val="24"/>
          <w:szCs w:val="24"/>
        </w:rPr>
        <w:t xml:space="preserve"> </w:t>
      </w:r>
      <w:r w:rsidRPr="002304CC">
        <w:rPr>
          <w:rFonts w:ascii="Arial" w:hAnsi="Arial" w:cs="Arial"/>
          <w:sz w:val="24"/>
          <w:szCs w:val="24"/>
        </w:rPr>
        <w:t>Dział III powyższej księgi wieczystej w</w:t>
      </w:r>
      <w:r w:rsidR="002304CC" w:rsidRPr="002304CC">
        <w:rPr>
          <w:rFonts w:ascii="Arial" w:hAnsi="Arial" w:cs="Arial"/>
          <w:sz w:val="24"/>
          <w:szCs w:val="24"/>
        </w:rPr>
        <w:t>olny jest od wpisów obciążeń. N</w:t>
      </w:r>
      <w:r w:rsidRPr="002304CC">
        <w:rPr>
          <w:rFonts w:ascii="Arial" w:hAnsi="Arial" w:cs="Arial"/>
          <w:sz w:val="24"/>
          <w:szCs w:val="24"/>
        </w:rPr>
        <w:t>atomiast w dziale IV tej księgi wieczystej wpisana jest hipoteka umowna do sumy 150.000,00 zł (sto pięćdziesią</w:t>
      </w:r>
      <w:r w:rsidR="002304CC" w:rsidRPr="002304CC">
        <w:rPr>
          <w:rFonts w:ascii="Arial" w:hAnsi="Arial" w:cs="Arial"/>
          <w:sz w:val="24"/>
          <w:szCs w:val="24"/>
        </w:rPr>
        <w:t xml:space="preserve">t tysięcy złotych) na rzecz </w:t>
      </w:r>
      <w:r w:rsidRPr="002304CC">
        <w:rPr>
          <w:rFonts w:ascii="Arial" w:hAnsi="Arial" w:cs="Arial"/>
          <w:sz w:val="24"/>
          <w:szCs w:val="24"/>
        </w:rPr>
        <w:t xml:space="preserve">Banku </w:t>
      </w:r>
      <w:proofErr w:type="spellStart"/>
      <w:r w:rsidR="002304CC" w:rsidRPr="002304CC">
        <w:rPr>
          <w:rFonts w:ascii="Arial" w:hAnsi="Arial" w:cs="Arial"/>
          <w:sz w:val="24"/>
          <w:szCs w:val="24"/>
        </w:rPr>
        <w:t>Furtum</w:t>
      </w:r>
      <w:proofErr w:type="spellEnd"/>
      <w:r w:rsidRPr="002304CC">
        <w:rPr>
          <w:rFonts w:ascii="Arial" w:hAnsi="Arial" w:cs="Arial"/>
          <w:sz w:val="24"/>
          <w:szCs w:val="24"/>
        </w:rPr>
        <w:t xml:space="preserve"> S.A. z siedzibą w </w:t>
      </w:r>
      <w:r w:rsidR="002304CC" w:rsidRPr="002304CC">
        <w:rPr>
          <w:rFonts w:ascii="Arial" w:hAnsi="Arial" w:cs="Arial"/>
          <w:sz w:val="24"/>
          <w:szCs w:val="24"/>
        </w:rPr>
        <w:t>Warszawie</w:t>
      </w:r>
      <w:r w:rsidRPr="002304CC">
        <w:rPr>
          <w:rFonts w:ascii="Arial" w:hAnsi="Arial" w:cs="Arial"/>
          <w:sz w:val="24"/>
          <w:szCs w:val="24"/>
        </w:rPr>
        <w:t>, celem zabezpieczenia spłaty kredytu hipotecznego, z termin</w:t>
      </w:r>
      <w:r w:rsidR="008E30D8">
        <w:rPr>
          <w:rFonts w:ascii="Arial" w:hAnsi="Arial" w:cs="Arial"/>
          <w:sz w:val="24"/>
          <w:szCs w:val="24"/>
        </w:rPr>
        <w:t>em zapłaty do dnia 31 lipca 2026</w:t>
      </w:r>
      <w:r w:rsidRPr="002304CC">
        <w:rPr>
          <w:rFonts w:ascii="Arial" w:hAnsi="Arial" w:cs="Arial"/>
          <w:sz w:val="24"/>
          <w:szCs w:val="24"/>
        </w:rPr>
        <w:t xml:space="preserve"> roku.</w:t>
      </w:r>
      <w:r w:rsidR="009E69C6" w:rsidRPr="002304CC">
        <w:rPr>
          <w:rFonts w:ascii="Arial" w:hAnsi="Arial" w:cs="Arial"/>
          <w:sz w:val="24"/>
          <w:szCs w:val="24"/>
        </w:rPr>
        <w:t xml:space="preserve"> </w:t>
      </w:r>
    </w:p>
    <w:p w:rsidR="009E69C6" w:rsidRPr="00A636DA" w:rsidRDefault="009E69C6" w:rsidP="009E1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304CC" w:rsidRDefault="002304CC" w:rsidP="002304CC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36DA">
        <w:rPr>
          <w:rFonts w:ascii="Arial" w:hAnsi="Arial" w:cs="Arial"/>
          <w:bCs/>
          <w:sz w:val="24"/>
          <w:szCs w:val="24"/>
          <w:u w:val="single"/>
        </w:rPr>
        <w:t>Zadanie:</w:t>
      </w:r>
      <w:r w:rsidRPr="00A636D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jako pełnomocnik </w:t>
      </w:r>
      <w:r w:rsidR="008E30D8">
        <w:rPr>
          <w:rFonts w:ascii="Arial" w:hAnsi="Arial" w:cs="Arial"/>
          <w:bCs/>
          <w:sz w:val="24"/>
          <w:szCs w:val="24"/>
        </w:rPr>
        <w:t>zainteresowanych kupnem Marty i Janusza Nowaków</w:t>
      </w:r>
      <w:r>
        <w:rPr>
          <w:rFonts w:ascii="Arial" w:hAnsi="Arial" w:cs="Arial"/>
          <w:bCs/>
          <w:sz w:val="24"/>
          <w:szCs w:val="24"/>
        </w:rPr>
        <w:t xml:space="preserve"> proszę </w:t>
      </w:r>
      <w:r w:rsidRPr="00A636DA">
        <w:rPr>
          <w:rFonts w:ascii="Arial" w:hAnsi="Arial" w:cs="Arial"/>
          <w:bCs/>
          <w:sz w:val="24"/>
          <w:szCs w:val="24"/>
        </w:rPr>
        <w:t>przygotować</w:t>
      </w:r>
      <w:r>
        <w:rPr>
          <w:rFonts w:ascii="Arial" w:hAnsi="Arial" w:cs="Arial"/>
          <w:bCs/>
          <w:sz w:val="24"/>
          <w:szCs w:val="24"/>
        </w:rPr>
        <w:t xml:space="preserve"> projekt umowy</w:t>
      </w:r>
      <w:r w:rsidR="008E30D8">
        <w:rPr>
          <w:rFonts w:ascii="Arial" w:hAnsi="Arial" w:cs="Arial"/>
          <w:bCs/>
          <w:sz w:val="24"/>
          <w:szCs w:val="24"/>
        </w:rPr>
        <w:t xml:space="preserve"> przedwstępnej</w:t>
      </w:r>
      <w:r>
        <w:rPr>
          <w:rFonts w:ascii="Arial" w:hAnsi="Arial" w:cs="Arial"/>
          <w:bCs/>
          <w:sz w:val="24"/>
          <w:szCs w:val="24"/>
        </w:rPr>
        <w:t xml:space="preserve"> sprzedaży ww. nieruchomości na </w:t>
      </w:r>
      <w:r w:rsidR="008E30D8">
        <w:rPr>
          <w:rFonts w:ascii="Arial" w:hAnsi="Arial" w:cs="Arial"/>
          <w:bCs/>
          <w:sz w:val="24"/>
          <w:szCs w:val="24"/>
        </w:rPr>
        <w:t>ich rzecz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0847DE" w:rsidRDefault="000847DE" w:rsidP="00230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083C" w:rsidRDefault="0085083C" w:rsidP="00230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Przygotowane projekty umów proszę przynieść na ćwiczenia, celem aktywnego udziału w dyskusji.</w:t>
      </w:r>
    </w:p>
    <w:p w:rsidR="0085083C" w:rsidRPr="000847DE" w:rsidRDefault="0085083C" w:rsidP="00230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5083C" w:rsidRPr="000847DE" w:rsidSect="0021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020EB"/>
    <w:multiLevelType w:val="hybridMultilevel"/>
    <w:tmpl w:val="63284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F56A6"/>
    <w:multiLevelType w:val="hybridMultilevel"/>
    <w:tmpl w:val="F2BCC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E66C2"/>
    <w:multiLevelType w:val="hybridMultilevel"/>
    <w:tmpl w:val="26E0C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D0CEA"/>
    <w:multiLevelType w:val="hybridMultilevel"/>
    <w:tmpl w:val="95C07036"/>
    <w:lvl w:ilvl="0" w:tplc="C108DDE8">
      <w:start w:val="1"/>
      <w:numFmt w:val="decimal"/>
      <w:lvlText w:val="%1."/>
      <w:lvlJc w:val="left"/>
      <w:pPr>
        <w:ind w:left="720" w:hanging="360"/>
      </w:pPr>
      <w:rPr>
        <w:rFonts w:ascii="Helvetica" w:eastAsia="Calibri" w:hAnsi="Helvetica" w:cs="Helvetica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35FE"/>
    <w:multiLevelType w:val="hybridMultilevel"/>
    <w:tmpl w:val="02524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829E8"/>
    <w:multiLevelType w:val="hybridMultilevel"/>
    <w:tmpl w:val="AF68CEFE"/>
    <w:lvl w:ilvl="0" w:tplc="6D90C39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F3295"/>
    <w:multiLevelType w:val="hybridMultilevel"/>
    <w:tmpl w:val="E4788C92"/>
    <w:lvl w:ilvl="0" w:tplc="7CE01E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C1854"/>
    <w:multiLevelType w:val="hybridMultilevel"/>
    <w:tmpl w:val="95C07036"/>
    <w:lvl w:ilvl="0" w:tplc="C108DDE8">
      <w:start w:val="1"/>
      <w:numFmt w:val="decimal"/>
      <w:lvlText w:val="%1."/>
      <w:lvlJc w:val="left"/>
      <w:pPr>
        <w:ind w:left="720" w:hanging="360"/>
      </w:pPr>
      <w:rPr>
        <w:rFonts w:ascii="Helvetica" w:eastAsia="Calibri" w:hAnsi="Helvetica" w:cs="Helvetica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C5"/>
    <w:rsid w:val="00000EFE"/>
    <w:rsid w:val="000847DE"/>
    <w:rsid w:val="000935AA"/>
    <w:rsid w:val="001444C5"/>
    <w:rsid w:val="0015262F"/>
    <w:rsid w:val="00170AFA"/>
    <w:rsid w:val="00172129"/>
    <w:rsid w:val="001A36C6"/>
    <w:rsid w:val="001C4C68"/>
    <w:rsid w:val="0021427F"/>
    <w:rsid w:val="002304CC"/>
    <w:rsid w:val="002555B9"/>
    <w:rsid w:val="00277DFE"/>
    <w:rsid w:val="00313884"/>
    <w:rsid w:val="00320BC3"/>
    <w:rsid w:val="003311EE"/>
    <w:rsid w:val="003D6334"/>
    <w:rsid w:val="00403973"/>
    <w:rsid w:val="004348A6"/>
    <w:rsid w:val="004C315D"/>
    <w:rsid w:val="004D4C2F"/>
    <w:rsid w:val="005047A4"/>
    <w:rsid w:val="00563DBD"/>
    <w:rsid w:val="005771BC"/>
    <w:rsid w:val="005A6D6B"/>
    <w:rsid w:val="0061620B"/>
    <w:rsid w:val="006207BB"/>
    <w:rsid w:val="00634AA1"/>
    <w:rsid w:val="00655351"/>
    <w:rsid w:val="006D2781"/>
    <w:rsid w:val="00707A1F"/>
    <w:rsid w:val="0074181B"/>
    <w:rsid w:val="007471AE"/>
    <w:rsid w:val="008337A1"/>
    <w:rsid w:val="0084011C"/>
    <w:rsid w:val="0085083C"/>
    <w:rsid w:val="008C3F6F"/>
    <w:rsid w:val="008D0A7C"/>
    <w:rsid w:val="008E30D8"/>
    <w:rsid w:val="008E46E9"/>
    <w:rsid w:val="00940916"/>
    <w:rsid w:val="00942C1B"/>
    <w:rsid w:val="009E10B2"/>
    <w:rsid w:val="009E4709"/>
    <w:rsid w:val="009E69C6"/>
    <w:rsid w:val="00A0007A"/>
    <w:rsid w:val="00A009F4"/>
    <w:rsid w:val="00A8595C"/>
    <w:rsid w:val="00AC771A"/>
    <w:rsid w:val="00AE214C"/>
    <w:rsid w:val="00B35121"/>
    <w:rsid w:val="00B72A2D"/>
    <w:rsid w:val="00BB28BB"/>
    <w:rsid w:val="00BE2893"/>
    <w:rsid w:val="00BF2917"/>
    <w:rsid w:val="00C174B3"/>
    <w:rsid w:val="00C4072E"/>
    <w:rsid w:val="00C737C4"/>
    <w:rsid w:val="00C87708"/>
    <w:rsid w:val="00CA3E57"/>
    <w:rsid w:val="00CB4C93"/>
    <w:rsid w:val="00CC21DB"/>
    <w:rsid w:val="00CC5E31"/>
    <w:rsid w:val="00D64AEC"/>
    <w:rsid w:val="00D961C6"/>
    <w:rsid w:val="00DC0005"/>
    <w:rsid w:val="00DF07BC"/>
    <w:rsid w:val="00DF76B6"/>
    <w:rsid w:val="00E03074"/>
    <w:rsid w:val="00E07306"/>
    <w:rsid w:val="00E4466A"/>
    <w:rsid w:val="00E76DDE"/>
    <w:rsid w:val="00E834CA"/>
    <w:rsid w:val="00E97FBB"/>
    <w:rsid w:val="00EB3364"/>
    <w:rsid w:val="00EB5455"/>
    <w:rsid w:val="00EE5141"/>
    <w:rsid w:val="00EF4BEE"/>
    <w:rsid w:val="00EF557E"/>
    <w:rsid w:val="00F0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elementyStruktury"/>
  <w:smartTagType w:namespaceuri="lexAThandschemas/lexAThand" w:name="lexATorzeczenia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5:docId w15:val="{0347FDDF-9DBB-42A0-BF7F-891D4D7C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2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364"/>
    <w:pPr>
      <w:ind w:left="708"/>
    </w:pPr>
  </w:style>
  <w:style w:type="character" w:styleId="Hipercze">
    <w:name w:val="Hyperlink"/>
    <w:basedOn w:val="Domylnaczcionkaakapitu"/>
    <w:uiPriority w:val="99"/>
    <w:unhideWhenUsed/>
    <w:rsid w:val="00084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944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Gorczyński</dc:creator>
  <cp:lastModifiedBy>Grzegorz Żmij</cp:lastModifiedBy>
  <cp:revision>8</cp:revision>
  <dcterms:created xsi:type="dcterms:W3CDTF">2016-12-29T12:46:00Z</dcterms:created>
  <dcterms:modified xsi:type="dcterms:W3CDTF">2017-12-27T12:30:00Z</dcterms:modified>
</cp:coreProperties>
</file>